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17" w:rsidRPr="00A56217" w:rsidRDefault="00A56217" w:rsidP="00A56217">
      <w:pPr>
        <w:pStyle w:val="10"/>
        <w:keepNext/>
        <w:keepLines/>
        <w:spacing w:after="0" w:line="240" w:lineRule="auto"/>
        <w:ind w:left="5529"/>
        <w:rPr>
          <w:rFonts w:ascii="Times New Roman" w:eastAsia="Times New Roman" w:hAnsi="Times New Roman" w:cs="Times New Roman"/>
          <w:szCs w:val="28"/>
          <w:lang w:val="x-none" w:eastAsia="x-none"/>
        </w:rPr>
      </w:pPr>
      <w:r w:rsidRPr="00A56217">
        <w:rPr>
          <w:rFonts w:ascii="Times New Roman" w:eastAsia="Times New Roman" w:hAnsi="Times New Roman" w:cs="Times New Roman"/>
          <w:szCs w:val="28"/>
          <w:lang w:val="x-none" w:eastAsia="x-none"/>
        </w:rPr>
        <w:t>Approved by the order of the Chairman of the Committee on Statistics of the Ministry of National Economy of the Republic of Kazakhstan dated November 21, 2016</w:t>
      </w:r>
    </w:p>
    <w:p w:rsidR="004D7285" w:rsidRPr="00A56217" w:rsidRDefault="00A56217" w:rsidP="00A56217">
      <w:pPr>
        <w:pStyle w:val="10"/>
        <w:keepNext/>
        <w:keepLines/>
        <w:shd w:val="clear" w:color="auto" w:fill="auto"/>
        <w:spacing w:after="0" w:line="240" w:lineRule="auto"/>
        <w:ind w:left="5529"/>
        <w:rPr>
          <w:rFonts w:ascii="Times New Roman" w:hAnsi="Times New Roman"/>
          <w:lang w:val="en-US"/>
        </w:rPr>
      </w:pPr>
      <w:r w:rsidRPr="00A56217">
        <w:rPr>
          <w:rFonts w:ascii="Times New Roman" w:eastAsia="Times New Roman" w:hAnsi="Times New Roman" w:cs="Times New Roman"/>
          <w:szCs w:val="28"/>
          <w:lang w:val="x-none" w:eastAsia="x-none"/>
        </w:rPr>
        <w:t>no. 268</w:t>
      </w:r>
    </w:p>
    <w:p w:rsidR="004D7285" w:rsidRPr="00A56217" w:rsidRDefault="004D7285" w:rsidP="004D7285">
      <w:pPr>
        <w:spacing w:after="0" w:line="240" w:lineRule="auto"/>
        <w:rPr>
          <w:rFonts w:ascii="Times New Roman" w:hAnsi="Times New Roman"/>
          <w:bCs/>
          <w:iCs/>
          <w:sz w:val="28"/>
          <w:lang w:val="en-US"/>
        </w:rPr>
      </w:pPr>
    </w:p>
    <w:p w:rsidR="004D7285" w:rsidRPr="00A56217" w:rsidRDefault="004D7285" w:rsidP="004D7285">
      <w:pPr>
        <w:spacing w:after="0" w:line="240" w:lineRule="auto"/>
        <w:rPr>
          <w:rFonts w:ascii="Times New Roman" w:hAnsi="Times New Roman"/>
          <w:bCs/>
          <w:iCs/>
          <w:sz w:val="28"/>
          <w:lang w:val="en-US"/>
        </w:rPr>
      </w:pPr>
    </w:p>
    <w:p w:rsidR="004D7285" w:rsidRPr="00A56217" w:rsidRDefault="00A56217" w:rsidP="004D7285">
      <w:pPr>
        <w:spacing w:after="0" w:line="240" w:lineRule="auto"/>
        <w:jc w:val="center"/>
        <w:rPr>
          <w:rFonts w:ascii="Times New Roman" w:hAnsi="Times New Roman"/>
          <w:b/>
          <w:sz w:val="28"/>
          <w:szCs w:val="28"/>
          <w:lang w:val="en-US"/>
        </w:rPr>
      </w:pPr>
      <w:r w:rsidRPr="00A56217">
        <w:rPr>
          <w:rFonts w:ascii="Times New Roman" w:hAnsi="Times New Roman"/>
          <w:b/>
          <w:sz w:val="28"/>
          <w:szCs w:val="28"/>
          <w:lang w:val="en-US"/>
        </w:rPr>
        <w:t>Methodology for the formation of the balance of assets and liabilities</w:t>
      </w:r>
    </w:p>
    <w:p w:rsidR="004D7285" w:rsidRPr="00A56217" w:rsidRDefault="004D7285" w:rsidP="004D7285">
      <w:pPr>
        <w:spacing w:after="0" w:line="240" w:lineRule="auto"/>
        <w:rPr>
          <w:rFonts w:ascii="Times New Roman" w:hAnsi="Times New Roman"/>
          <w:bCs/>
          <w:iCs/>
          <w:sz w:val="28"/>
          <w:lang w:val="en-US"/>
        </w:rPr>
      </w:pPr>
    </w:p>
    <w:p w:rsidR="004D7285" w:rsidRPr="00A56217" w:rsidRDefault="004D7285" w:rsidP="004D7285">
      <w:pPr>
        <w:spacing w:after="0" w:line="240" w:lineRule="auto"/>
        <w:rPr>
          <w:rFonts w:ascii="Times New Roman" w:hAnsi="Times New Roman"/>
          <w:bCs/>
          <w:iCs/>
          <w:sz w:val="28"/>
          <w:lang w:val="en-US"/>
        </w:rPr>
      </w:pPr>
    </w:p>
    <w:p w:rsidR="004D7285" w:rsidRPr="0092611D" w:rsidRDefault="004D7285" w:rsidP="004D7285">
      <w:pPr>
        <w:spacing w:after="0" w:line="240" w:lineRule="auto"/>
        <w:jc w:val="center"/>
        <w:rPr>
          <w:rFonts w:ascii="Times New Roman" w:hAnsi="Times New Roman"/>
          <w:b/>
          <w:sz w:val="28"/>
          <w:szCs w:val="28"/>
        </w:rPr>
      </w:pPr>
      <w:r w:rsidRPr="0092611D">
        <w:rPr>
          <w:rFonts w:ascii="Times New Roman" w:hAnsi="Times New Roman"/>
          <w:b/>
          <w:sz w:val="28"/>
          <w:szCs w:val="28"/>
        </w:rPr>
        <w:t xml:space="preserve">Chapter 1. General </w:t>
      </w:r>
      <w:r w:rsidR="004D6A4B">
        <w:rPr>
          <w:rFonts w:ascii="Times New Roman" w:hAnsi="Times New Roman"/>
          <w:b/>
          <w:sz w:val="28"/>
          <w:szCs w:val="28"/>
          <w:lang w:val="en-US"/>
        </w:rPr>
        <w:t>p</w:t>
      </w:r>
      <w:r w:rsidRPr="0092611D">
        <w:rPr>
          <w:rFonts w:ascii="Times New Roman" w:hAnsi="Times New Roman"/>
          <w:b/>
          <w:sz w:val="28"/>
          <w:szCs w:val="28"/>
        </w:rPr>
        <w:t>rovisions</w:t>
      </w:r>
    </w:p>
    <w:p w:rsidR="004D7285" w:rsidRPr="0092611D" w:rsidRDefault="004D7285" w:rsidP="004D7285">
      <w:pPr>
        <w:spacing w:after="0" w:line="240" w:lineRule="auto"/>
        <w:ind w:left="993"/>
        <w:jc w:val="center"/>
        <w:rPr>
          <w:rFonts w:ascii="Times New Roman" w:hAnsi="Times New Roman"/>
          <w:b/>
          <w:sz w:val="28"/>
          <w:szCs w:val="28"/>
        </w:rPr>
      </w:pPr>
      <w:r w:rsidRPr="0092611D">
        <w:rPr>
          <w:rFonts w:ascii="Times New Roman" w:hAnsi="Times New Roman"/>
          <w:b/>
          <w:sz w:val="28"/>
          <w:szCs w:val="28"/>
        </w:rPr>
        <w:t xml:space="preserve"> </w:t>
      </w:r>
    </w:p>
    <w:p w:rsidR="004D7285" w:rsidRPr="0092611D" w:rsidRDefault="004D7285" w:rsidP="004D7285">
      <w:pPr>
        <w:numPr>
          <w:ilvl w:val="0"/>
          <w:numId w:val="1"/>
        </w:numPr>
        <w:tabs>
          <w:tab w:val="left" w:pos="993"/>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The methodology for forming the balance of assets and liabilities (hereinafter - the Methodology) refers to the statistical methodology developed in accordance with international standards and the Law of the Republic of Kazakhstan dated March 19, 2010 "On State Statistics".</w:t>
      </w:r>
    </w:p>
    <w:p w:rsidR="004D7285" w:rsidRPr="0092611D" w:rsidRDefault="004D7285" w:rsidP="004D7285">
      <w:pPr>
        <w:numPr>
          <w:ilvl w:val="0"/>
          <w:numId w:val="1"/>
        </w:numPr>
        <w:tabs>
          <w:tab w:val="left" w:pos="993"/>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This Methodology is intended for use by the Committee on Statistics of the Ministry of National Economy of the Republic of Kazakhstan when forming the balance sheet of assets and liabilities in accordance with international standards and is used for the purposes of the System of National Accounts (hereinafter - SNA).</w:t>
      </w:r>
    </w:p>
    <w:p w:rsidR="004D7285" w:rsidRPr="0092611D" w:rsidRDefault="004D7285" w:rsidP="004D7285">
      <w:pPr>
        <w:numPr>
          <w:ilvl w:val="0"/>
          <w:numId w:val="1"/>
        </w:numPr>
        <w:tabs>
          <w:tab w:val="left" w:pos="993"/>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The purpose of this Methodology is to describe the algorithm for forming the balance of assets and liabilities and improve the quality of calculations of macroeconomic indicators.</w:t>
      </w:r>
    </w:p>
    <w:p w:rsidR="004D7285" w:rsidRPr="0092611D" w:rsidRDefault="004D7285" w:rsidP="004D7285">
      <w:pPr>
        <w:numPr>
          <w:ilvl w:val="0"/>
          <w:numId w:val="1"/>
        </w:numPr>
        <w:tabs>
          <w:tab w:val="left" w:pos="993"/>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The System of National Accounts 2008 prepared by the International Monetary Fund, the Organization for Economic Co-operation and Development, the Statistical Office of the European Communities, the United Nations and the World Bank was used as a methodological basis.</w:t>
      </w:r>
    </w:p>
    <w:p w:rsidR="004D7285" w:rsidRPr="0092611D" w:rsidRDefault="004D7285" w:rsidP="004D7285">
      <w:pPr>
        <w:numPr>
          <w:ilvl w:val="0"/>
          <w:numId w:val="1"/>
        </w:numPr>
        <w:tabs>
          <w:tab w:val="left" w:pos="993"/>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This Methodology uses the main definitions:</w:t>
      </w:r>
    </w:p>
    <w:p w:rsidR="004D7285" w:rsidRPr="0092611D" w:rsidRDefault="004D7285" w:rsidP="004D7285">
      <w:pPr>
        <w:pStyle w:val="2"/>
        <w:numPr>
          <w:ilvl w:val="0"/>
          <w:numId w:val="2"/>
        </w:numPr>
        <w:shd w:val="clear" w:color="auto" w:fill="auto"/>
        <w:tabs>
          <w:tab w:val="left" w:pos="993"/>
        </w:tabs>
        <w:spacing w:before="0" w:line="240" w:lineRule="auto"/>
        <w:ind w:left="0" w:firstLine="709"/>
        <w:jc w:val="both"/>
        <w:rPr>
          <w:sz w:val="28"/>
          <w:szCs w:val="28"/>
        </w:rPr>
      </w:pPr>
      <w:r w:rsidRPr="0092611D">
        <w:rPr>
          <w:sz w:val="28"/>
          <w:szCs w:val="28"/>
        </w:rPr>
        <w:t>produced non-financial assets - assets that have arisen as a result of production processes that fall within the definition of production boundaries in the SNA;</w:t>
      </w:r>
    </w:p>
    <w:p w:rsidR="004D7285" w:rsidRPr="0092611D" w:rsidRDefault="004D7285" w:rsidP="004D7285">
      <w:pPr>
        <w:pStyle w:val="2"/>
        <w:numPr>
          <w:ilvl w:val="0"/>
          <w:numId w:val="2"/>
        </w:numPr>
        <w:shd w:val="clear" w:color="auto" w:fill="auto"/>
        <w:tabs>
          <w:tab w:val="left" w:pos="993"/>
        </w:tabs>
        <w:spacing w:before="0" w:line="240" w:lineRule="auto"/>
        <w:ind w:left="0" w:firstLine="709"/>
        <w:jc w:val="both"/>
        <w:rPr>
          <w:sz w:val="28"/>
          <w:szCs w:val="28"/>
        </w:rPr>
      </w:pPr>
      <w:r w:rsidRPr="0092611D">
        <w:rPr>
          <w:sz w:val="28"/>
          <w:szCs w:val="28"/>
        </w:rPr>
        <w:t xml:space="preserve">non-produced non-financial assets - assets that are not the result of production processes </w:t>
      </w:r>
      <w:r w:rsidRPr="004D6A4B">
        <w:rPr>
          <w:sz w:val="28"/>
          <w:szCs w:val="28"/>
          <w:lang w:val="en-US"/>
        </w:rPr>
        <w:t>.</w:t>
      </w:r>
    </w:p>
    <w:p w:rsidR="004D7285" w:rsidRPr="0092611D" w:rsidRDefault="004D7285" w:rsidP="004D7285">
      <w:pPr>
        <w:spacing w:after="0" w:line="240" w:lineRule="auto"/>
        <w:rPr>
          <w:rFonts w:ascii="Times New Roman" w:hAnsi="Times New Roman"/>
          <w:bCs/>
          <w:iCs/>
          <w:sz w:val="28"/>
        </w:rPr>
      </w:pPr>
    </w:p>
    <w:p w:rsidR="004D7285" w:rsidRPr="0092611D" w:rsidRDefault="004D7285" w:rsidP="004D7285">
      <w:pPr>
        <w:spacing w:after="0" w:line="240" w:lineRule="auto"/>
        <w:rPr>
          <w:rFonts w:ascii="Times New Roman" w:hAnsi="Times New Roman"/>
          <w:bCs/>
          <w:iCs/>
          <w:sz w:val="28"/>
        </w:rPr>
      </w:pPr>
    </w:p>
    <w:p w:rsidR="004D7285" w:rsidRPr="0092611D" w:rsidRDefault="004D7285" w:rsidP="004D7285">
      <w:pPr>
        <w:spacing w:after="0" w:line="240" w:lineRule="auto"/>
        <w:jc w:val="center"/>
        <w:rPr>
          <w:rFonts w:ascii="Times New Roman" w:hAnsi="Times New Roman"/>
          <w:b/>
          <w:sz w:val="28"/>
          <w:szCs w:val="28"/>
        </w:rPr>
      </w:pPr>
      <w:r w:rsidRPr="0092611D">
        <w:rPr>
          <w:rFonts w:ascii="Times New Roman" w:hAnsi="Times New Roman"/>
          <w:b/>
          <w:sz w:val="28"/>
          <w:szCs w:val="28"/>
        </w:rPr>
        <w:t>Chapter 2. Methodological basis of the balance of assets and liabilities</w:t>
      </w:r>
    </w:p>
    <w:p w:rsidR="004D7285" w:rsidRPr="0092611D" w:rsidRDefault="004D7285" w:rsidP="004D7285">
      <w:pPr>
        <w:spacing w:after="0" w:line="240" w:lineRule="auto"/>
        <w:jc w:val="center"/>
        <w:rPr>
          <w:rFonts w:ascii="Times New Roman" w:hAnsi="Times New Roman"/>
          <w:b/>
          <w:sz w:val="28"/>
          <w:szCs w:val="28"/>
        </w:rPr>
      </w:pPr>
    </w:p>
    <w:p w:rsidR="004D7285" w:rsidRPr="0092611D" w:rsidRDefault="004D7285" w:rsidP="004D7285">
      <w:pPr>
        <w:numPr>
          <w:ilvl w:val="0"/>
          <w:numId w:val="1"/>
        </w:numPr>
        <w:tabs>
          <w:tab w:val="left" w:pos="993"/>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The balance of assets and liabilities (hereinafter - Balance) is a report compiled at a certain point in time, containing data on the value of assets and liabilities.</w:t>
      </w:r>
    </w:p>
    <w:p w:rsidR="004D7285" w:rsidRPr="0092611D" w:rsidRDefault="004D7285" w:rsidP="004D7285">
      <w:pPr>
        <w:numPr>
          <w:ilvl w:val="0"/>
          <w:numId w:val="1"/>
        </w:numPr>
        <w:tabs>
          <w:tab w:val="left" w:pos="993"/>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 xml:space="preserve">The balance sheet completes the sequence of the system of national accounts, reflecting the total value of all transactions in the accounts of production, distribution and use of income and accumulation. The balance sheet shows all changes in the </w:t>
      </w:r>
      <w:r w:rsidRPr="0092611D">
        <w:rPr>
          <w:rFonts w:ascii="Times New Roman" w:hAnsi="Times New Roman"/>
          <w:sz w:val="28"/>
          <w:szCs w:val="28"/>
        </w:rPr>
        <w:lastRenderedPageBreak/>
        <w:t>savings accounts. The closing balance is calculated by adding the opening balance, transactions, other changes in the volume of assets and revaluation.</w:t>
      </w:r>
    </w:p>
    <w:p w:rsidR="004D7285" w:rsidRPr="0092611D" w:rsidRDefault="004D7285" w:rsidP="004D7285">
      <w:pPr>
        <w:numPr>
          <w:ilvl w:val="0"/>
          <w:numId w:val="1"/>
        </w:numPr>
        <w:tabs>
          <w:tab w:val="left" w:pos="993"/>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 xml:space="preserve">The main identity of the balance sheet of assets and liabilities is presented in </w:t>
      </w:r>
      <w:r w:rsidR="00A56217">
        <w:rPr>
          <w:rFonts w:ascii="Times New Roman" w:hAnsi="Times New Roman"/>
          <w:sz w:val="28"/>
          <w:szCs w:val="28"/>
          <w:lang w:val="kk-KZ"/>
        </w:rPr>
        <w:t xml:space="preserve">Appendix </w:t>
      </w:r>
      <w:r w:rsidRPr="0092611D">
        <w:rPr>
          <w:rFonts w:ascii="Times New Roman" w:hAnsi="Times New Roman"/>
          <w:sz w:val="28"/>
          <w:szCs w:val="28"/>
        </w:rPr>
        <w:t>1 to this Methodology.</w:t>
      </w:r>
    </w:p>
    <w:p w:rsidR="004D7285" w:rsidRPr="0092611D" w:rsidRDefault="004D7285" w:rsidP="004D7285">
      <w:pPr>
        <w:numPr>
          <w:ilvl w:val="0"/>
          <w:numId w:val="1"/>
        </w:numPr>
        <w:tabs>
          <w:tab w:val="left" w:pos="993"/>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Accumulation accounts show changes in the value of assets, liabilities and net worth during an accounting period.</w:t>
      </w:r>
    </w:p>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Accounts for revaluation and other changes in the volume of assets reflect changes in assets and liabilities other than as a result of transactions. The revaluation account reflects changes in the value of assets and liabilities during the period associated with changes in price. The other changes in volume of assets account reflects changes in the value of assets and liabilities during the period due to causes unrelated to changes in prices and transactions. The financial account records transactions in financial assets and liabilities, while the capital account records transactions in non-financial assets.</w:t>
      </w:r>
    </w:p>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Compilation of balance sheets is broken down by category of assets. The assets reflected in the balance sheet are divided into two large groups: financial and non-financial assets.</w:t>
      </w:r>
    </w:p>
    <w:p w:rsidR="004D7285" w:rsidRPr="0092611D" w:rsidRDefault="004D7285" w:rsidP="004D7285">
      <w:pPr>
        <w:numPr>
          <w:ilvl w:val="0"/>
          <w:numId w:val="1"/>
        </w:numPr>
        <w:tabs>
          <w:tab w:val="left" w:pos="993"/>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Financial assets include all financial claims, shares or other equity interests in corporations, and gold bullion of the monetary authorities.</w:t>
      </w:r>
    </w:p>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There are two categories of non-financial assets: produced and non-produced assets.</w:t>
      </w:r>
    </w:p>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There are three main types of produced assets: fixed assets, inventories and valuables.</w:t>
      </w:r>
    </w:p>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Non-produced assets consist of three categories:</w:t>
      </w:r>
    </w:p>
    <w:p w:rsidR="004D7285" w:rsidRPr="0092611D" w:rsidRDefault="004D7285" w:rsidP="004D7285">
      <w:pPr>
        <w:tabs>
          <w:tab w:val="left" w:pos="1134"/>
        </w:tabs>
        <w:spacing w:after="0" w:line="240" w:lineRule="auto"/>
        <w:ind w:left="709"/>
        <w:jc w:val="both"/>
        <w:rPr>
          <w:rFonts w:ascii="Times New Roman" w:hAnsi="Times New Roman"/>
          <w:sz w:val="28"/>
          <w:szCs w:val="28"/>
        </w:rPr>
      </w:pPr>
      <w:r w:rsidRPr="0092611D">
        <w:rPr>
          <w:rFonts w:ascii="Times New Roman" w:hAnsi="Times New Roman"/>
          <w:sz w:val="28"/>
          <w:szCs w:val="28"/>
        </w:rPr>
        <w:t>1) natural resources;</w:t>
      </w:r>
    </w:p>
    <w:p w:rsidR="004D7285" w:rsidRPr="0092611D" w:rsidRDefault="004D7285" w:rsidP="004D7285">
      <w:pPr>
        <w:tabs>
          <w:tab w:val="left" w:pos="1134"/>
        </w:tabs>
        <w:spacing w:after="0" w:line="240" w:lineRule="auto"/>
        <w:ind w:left="709"/>
        <w:jc w:val="both"/>
        <w:rPr>
          <w:rFonts w:ascii="Times New Roman" w:hAnsi="Times New Roman"/>
          <w:sz w:val="28"/>
          <w:szCs w:val="28"/>
        </w:rPr>
      </w:pPr>
      <w:r w:rsidRPr="0092611D">
        <w:rPr>
          <w:rFonts w:ascii="Times New Roman" w:hAnsi="Times New Roman"/>
          <w:sz w:val="28"/>
          <w:szCs w:val="28"/>
        </w:rPr>
        <w:t>2) contracts, lease agreements and licenses;</w:t>
      </w:r>
    </w:p>
    <w:p w:rsidR="004D7285" w:rsidRPr="0092611D" w:rsidRDefault="004D7285" w:rsidP="004D7285">
      <w:pPr>
        <w:tabs>
          <w:tab w:val="left" w:pos="1134"/>
        </w:tabs>
        <w:spacing w:after="0" w:line="240" w:lineRule="auto"/>
        <w:ind w:left="709"/>
        <w:jc w:val="both"/>
        <w:rPr>
          <w:rFonts w:ascii="Times New Roman" w:hAnsi="Times New Roman"/>
          <w:sz w:val="28"/>
          <w:szCs w:val="28"/>
        </w:rPr>
      </w:pPr>
      <w:r w:rsidRPr="0092611D">
        <w:rPr>
          <w:rFonts w:ascii="Times New Roman" w:hAnsi="Times New Roman"/>
          <w:sz w:val="28"/>
          <w:szCs w:val="28"/>
        </w:rPr>
        <w:t>3) purchased goodwill and marketing assets.</w:t>
      </w:r>
    </w:p>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The financial and non-financial resources of an institutional unit or sector that appear on the balance sheet are an indicator of economic status and net worth, which is the balancing item.</w:t>
      </w:r>
    </w:p>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Net worth is defined as the value of all assets owned by an institutional unit or institutional sector, less the value of all of its or its liabilities.</w:t>
      </w:r>
    </w:p>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The structure of the balance of assets and liabilities</w:t>
      </w:r>
      <w:r w:rsidRPr="0092611D">
        <w:rPr>
          <w:rFonts w:ascii="Times New Roman" w:hAnsi="Times New Roman"/>
          <w:sz w:val="28"/>
          <w:szCs w:val="28"/>
          <w:lang w:val="kk-KZ"/>
        </w:rPr>
        <w:t xml:space="preserve"> </w:t>
      </w:r>
      <w:r w:rsidRPr="0092611D">
        <w:rPr>
          <w:rFonts w:ascii="Times New Roman" w:hAnsi="Times New Roman"/>
          <w:sz w:val="28"/>
          <w:szCs w:val="28"/>
        </w:rPr>
        <w:t xml:space="preserve">presented in </w:t>
      </w:r>
      <w:r w:rsidR="00A56217">
        <w:rPr>
          <w:rFonts w:ascii="Times New Roman" w:hAnsi="Times New Roman"/>
          <w:sz w:val="28"/>
          <w:szCs w:val="28"/>
          <w:lang w:val="kk-KZ"/>
        </w:rPr>
        <w:t xml:space="preserve">Appendix </w:t>
      </w:r>
      <w:r w:rsidRPr="0092611D">
        <w:rPr>
          <w:rFonts w:ascii="Times New Roman" w:hAnsi="Times New Roman"/>
          <w:sz w:val="28"/>
          <w:szCs w:val="28"/>
        </w:rPr>
        <w:t>2 to this Methodology.</w:t>
      </w:r>
    </w:p>
    <w:p w:rsidR="004D7285" w:rsidRPr="0092611D" w:rsidRDefault="004D7285" w:rsidP="004D7285">
      <w:pPr>
        <w:spacing w:after="0" w:line="240" w:lineRule="auto"/>
        <w:rPr>
          <w:rFonts w:ascii="Times New Roman" w:hAnsi="Times New Roman"/>
          <w:sz w:val="28"/>
          <w:szCs w:val="28"/>
        </w:rPr>
      </w:pPr>
      <w:bookmarkStart w:id="0" w:name="_Toc205287285"/>
      <w:bookmarkStart w:id="1" w:name="_Toc217663677"/>
      <w:bookmarkStart w:id="2" w:name="_Toc344722565"/>
      <w:bookmarkStart w:id="3" w:name="_Toc344722752"/>
      <w:bookmarkStart w:id="4" w:name="_Toc344722939"/>
      <w:bookmarkStart w:id="5" w:name="_Toc364779890"/>
      <w:bookmarkStart w:id="6" w:name="_Toc364780914"/>
      <w:bookmarkStart w:id="7" w:name="_Toc364781150"/>
    </w:p>
    <w:p w:rsidR="004D7285" w:rsidRPr="0092611D" w:rsidRDefault="004D7285" w:rsidP="004D7285">
      <w:pPr>
        <w:spacing w:after="0" w:line="240" w:lineRule="auto"/>
        <w:rPr>
          <w:rFonts w:ascii="Times New Roman" w:hAnsi="Times New Roman"/>
          <w:sz w:val="28"/>
          <w:szCs w:val="28"/>
        </w:rPr>
      </w:pPr>
    </w:p>
    <w:p w:rsidR="004D7285" w:rsidRPr="0092611D" w:rsidRDefault="004D7285" w:rsidP="004D7285">
      <w:pPr>
        <w:spacing w:after="0" w:line="240" w:lineRule="auto"/>
        <w:jc w:val="center"/>
        <w:rPr>
          <w:rFonts w:ascii="Times New Roman" w:hAnsi="Times New Roman"/>
          <w:b/>
          <w:sz w:val="28"/>
          <w:szCs w:val="28"/>
        </w:rPr>
      </w:pPr>
      <w:r w:rsidRPr="0092611D">
        <w:rPr>
          <w:rFonts w:ascii="Times New Roman" w:hAnsi="Times New Roman"/>
          <w:b/>
          <w:sz w:val="28"/>
          <w:szCs w:val="28"/>
        </w:rPr>
        <w:t>Chapter 3. Formation of the balance of assets and liabilities</w:t>
      </w:r>
    </w:p>
    <w:p w:rsidR="004D7285" w:rsidRPr="0092611D" w:rsidRDefault="004D7285" w:rsidP="004D7285">
      <w:pPr>
        <w:spacing w:after="0" w:line="240" w:lineRule="auto"/>
        <w:ind w:left="993"/>
        <w:jc w:val="center"/>
        <w:rPr>
          <w:rFonts w:ascii="Times New Roman" w:hAnsi="Times New Roman"/>
          <w:b/>
          <w:sz w:val="28"/>
          <w:szCs w:val="28"/>
        </w:rPr>
      </w:pPr>
    </w:p>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The information base for the balance sheet on an experimental basis are:</w:t>
      </w:r>
    </w:p>
    <w:p w:rsidR="004D7285" w:rsidRPr="0092611D" w:rsidRDefault="004D7285" w:rsidP="004D7285">
      <w:pPr>
        <w:pStyle w:val="a3"/>
        <w:tabs>
          <w:tab w:val="left" w:pos="993"/>
        </w:tabs>
        <w:autoSpaceDE w:val="0"/>
        <w:autoSpaceDN w:val="0"/>
        <w:adjustRightInd w:val="0"/>
        <w:spacing w:after="0" w:line="240" w:lineRule="auto"/>
        <w:ind w:left="709"/>
        <w:jc w:val="both"/>
        <w:rPr>
          <w:rFonts w:ascii="Times New Roman" w:hAnsi="Times New Roman"/>
          <w:sz w:val="28"/>
          <w:szCs w:val="28"/>
        </w:rPr>
      </w:pPr>
      <w:r w:rsidRPr="0092611D">
        <w:rPr>
          <w:rFonts w:ascii="Times New Roman" w:hAnsi="Times New Roman"/>
          <w:sz w:val="28"/>
          <w:szCs w:val="28"/>
        </w:rPr>
        <w:t>1) official statistical information;</w:t>
      </w:r>
    </w:p>
    <w:p w:rsidR="004D7285" w:rsidRPr="004D6A4B" w:rsidRDefault="004D7285" w:rsidP="004D7285">
      <w:pPr>
        <w:pStyle w:val="2"/>
        <w:tabs>
          <w:tab w:val="left" w:pos="426"/>
          <w:tab w:val="left" w:pos="993"/>
          <w:tab w:val="left" w:pos="1134"/>
          <w:tab w:val="left" w:pos="1276"/>
        </w:tabs>
        <w:spacing w:before="0" w:line="240" w:lineRule="auto"/>
        <w:ind w:firstLine="709"/>
        <w:jc w:val="both"/>
        <w:rPr>
          <w:sz w:val="28"/>
          <w:szCs w:val="28"/>
          <w:lang w:val="en-US" w:eastAsia="ru-RU"/>
        </w:rPr>
      </w:pPr>
      <w:r w:rsidRPr="004D6A4B">
        <w:rPr>
          <w:sz w:val="28"/>
          <w:szCs w:val="28"/>
          <w:lang w:val="en-US" w:eastAsia="ru-RU"/>
        </w:rPr>
        <w:t>2) administrative data of state bodies.</w:t>
      </w:r>
    </w:p>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The balance sheet is formed separately for financial and non-financial assets. Assets are detailed by type.</w:t>
      </w:r>
    </w:p>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lastRenderedPageBreak/>
        <w:t>The value of assets used from data sources is valued according to accounting standards, data is revalued using price indices. Information on natural resources is received in kind, prices for minerals are used for valuation, in the absence of domestic prices, exchange quotations for non-ferrous and precious metals are used.</w:t>
      </w:r>
    </w:p>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The adjusted value of the assets is entered into the balance sheets. The next step is data validation and balancing using a matrix table. The tables are compiled on stocks and flows of assets and liabilities.</w:t>
      </w:r>
    </w:p>
    <w:bookmarkEnd w:id="0"/>
    <w:bookmarkEnd w:id="1"/>
    <w:bookmarkEnd w:id="2"/>
    <w:bookmarkEnd w:id="3"/>
    <w:bookmarkEnd w:id="4"/>
    <w:bookmarkEnd w:id="5"/>
    <w:bookmarkEnd w:id="6"/>
    <w:bookmarkEnd w:id="7"/>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Horizontal balancing is about maintaining equivalence for each transaction, flows and stocks balance out when summed across all resident sectors and the rest of the world.</w:t>
      </w:r>
    </w:p>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lang w:val="kk-KZ"/>
        </w:rPr>
        <w:t xml:space="preserve">In the </w:t>
      </w:r>
      <w:r w:rsidRPr="0092611D">
        <w:rPr>
          <w:rFonts w:ascii="Times New Roman" w:hAnsi="Times New Roman"/>
          <w:sz w:val="28"/>
          <w:szCs w:val="28"/>
        </w:rPr>
        <w:t xml:space="preserve">balance sheet </w:t>
      </w:r>
      <w:r w:rsidRPr="0092611D">
        <w:rPr>
          <w:rFonts w:ascii="Times New Roman" w:hAnsi="Times New Roman"/>
          <w:sz w:val="28"/>
          <w:szCs w:val="28"/>
          <w:lang w:val="kk-KZ"/>
        </w:rPr>
        <w:t xml:space="preserve">, </w:t>
      </w:r>
      <w:r w:rsidRPr="0092611D">
        <w:rPr>
          <w:rFonts w:ascii="Times New Roman" w:hAnsi="Times New Roman"/>
          <w:sz w:val="28"/>
          <w:szCs w:val="28"/>
        </w:rPr>
        <w:t xml:space="preserve">the amount </w:t>
      </w:r>
      <w:r w:rsidRPr="0092611D">
        <w:rPr>
          <w:rFonts w:ascii="Times New Roman" w:hAnsi="Times New Roman"/>
          <w:sz w:val="28"/>
          <w:szCs w:val="28"/>
          <w:lang w:val="kk-KZ"/>
        </w:rPr>
        <w:t xml:space="preserve">of </w:t>
      </w:r>
      <w:r w:rsidRPr="0092611D">
        <w:rPr>
          <w:rFonts w:ascii="Times New Roman" w:hAnsi="Times New Roman"/>
          <w:sz w:val="28"/>
          <w:szCs w:val="28"/>
        </w:rPr>
        <w:t xml:space="preserve">stocks at the beginning of the current period </w:t>
      </w:r>
      <w:r w:rsidRPr="0092611D">
        <w:rPr>
          <w:rFonts w:ascii="Times New Roman" w:hAnsi="Times New Roman"/>
          <w:sz w:val="28"/>
          <w:szCs w:val="28"/>
          <w:lang w:val="kk-KZ"/>
        </w:rPr>
        <w:t xml:space="preserve">is equal to the sum of stocks </w:t>
      </w:r>
      <w:r w:rsidRPr="0092611D">
        <w:rPr>
          <w:rFonts w:ascii="Times New Roman" w:hAnsi="Times New Roman"/>
          <w:sz w:val="28"/>
          <w:szCs w:val="28"/>
        </w:rPr>
        <w:t xml:space="preserve">at the end </w:t>
      </w:r>
      <w:r w:rsidRPr="0092611D">
        <w:rPr>
          <w:rFonts w:ascii="Times New Roman" w:hAnsi="Times New Roman"/>
          <w:sz w:val="28"/>
          <w:szCs w:val="28"/>
          <w:lang w:val="kk-KZ"/>
        </w:rPr>
        <w:t xml:space="preserve">of </w:t>
      </w:r>
      <w:r w:rsidRPr="0092611D">
        <w:rPr>
          <w:rFonts w:ascii="Times New Roman" w:hAnsi="Times New Roman"/>
          <w:sz w:val="28"/>
          <w:szCs w:val="28"/>
        </w:rPr>
        <w:t>the previous period.</w:t>
      </w:r>
    </w:p>
    <w:p w:rsidR="004D7285" w:rsidRPr="0092611D" w:rsidRDefault="004D7285" w:rsidP="004D7285">
      <w:pPr>
        <w:numPr>
          <w:ilvl w:val="0"/>
          <w:numId w:val="1"/>
        </w:numPr>
        <w:tabs>
          <w:tab w:val="left" w:pos="1134"/>
        </w:tabs>
        <w:spacing w:after="0" w:line="240" w:lineRule="auto"/>
        <w:ind w:left="0" w:firstLine="709"/>
        <w:jc w:val="both"/>
        <w:rPr>
          <w:rFonts w:ascii="Times New Roman" w:hAnsi="Times New Roman"/>
          <w:sz w:val="28"/>
          <w:szCs w:val="28"/>
        </w:rPr>
      </w:pPr>
      <w:r w:rsidRPr="0092611D">
        <w:rPr>
          <w:rFonts w:ascii="Times New Roman" w:hAnsi="Times New Roman"/>
          <w:sz w:val="28"/>
          <w:szCs w:val="28"/>
        </w:rPr>
        <w:t>The sum of all changes during the period is equal to the sum of transactions, other changes in the volume of assets and revaluation. If the amounts do not match, an additional check of the accounts and data sources is carried out.</w:t>
      </w:r>
    </w:p>
    <w:p w:rsidR="004D7285" w:rsidRPr="0092611D" w:rsidRDefault="004D7285" w:rsidP="004D7285">
      <w:pPr>
        <w:tabs>
          <w:tab w:val="left" w:pos="1134"/>
        </w:tabs>
        <w:spacing w:after="0" w:line="240" w:lineRule="auto"/>
        <w:ind w:left="709"/>
        <w:jc w:val="both"/>
        <w:rPr>
          <w:rFonts w:ascii="Times New Roman" w:hAnsi="Times New Roman"/>
          <w:sz w:val="28"/>
          <w:szCs w:val="28"/>
        </w:rPr>
      </w:pPr>
    </w:p>
    <w:p w:rsidR="004D7285" w:rsidRPr="0092611D" w:rsidRDefault="004D7285" w:rsidP="004D7285">
      <w:pPr>
        <w:tabs>
          <w:tab w:val="left" w:pos="1134"/>
        </w:tabs>
        <w:spacing w:after="0" w:line="240" w:lineRule="auto"/>
        <w:ind w:left="709"/>
        <w:jc w:val="both"/>
        <w:rPr>
          <w:rFonts w:ascii="Times New Roman" w:hAnsi="Times New Roman"/>
          <w:sz w:val="28"/>
          <w:szCs w:val="28"/>
        </w:rPr>
      </w:pPr>
    </w:p>
    <w:p w:rsidR="004D7285" w:rsidRPr="0092611D" w:rsidRDefault="004D7285" w:rsidP="004D7285">
      <w:pPr>
        <w:tabs>
          <w:tab w:val="left" w:pos="1134"/>
        </w:tabs>
        <w:spacing w:after="0" w:line="240" w:lineRule="auto"/>
        <w:ind w:left="709"/>
        <w:jc w:val="both"/>
        <w:rPr>
          <w:rFonts w:ascii="Times New Roman" w:hAnsi="Times New Roman"/>
          <w:sz w:val="28"/>
          <w:szCs w:val="28"/>
        </w:rPr>
      </w:pPr>
    </w:p>
    <w:p w:rsidR="004D7285" w:rsidRPr="0092611D" w:rsidRDefault="004D7285" w:rsidP="004D7285">
      <w:pPr>
        <w:tabs>
          <w:tab w:val="left" w:pos="1134"/>
        </w:tabs>
        <w:spacing w:after="0" w:line="240" w:lineRule="auto"/>
        <w:ind w:left="709"/>
        <w:jc w:val="both"/>
        <w:rPr>
          <w:rFonts w:ascii="Times New Roman" w:hAnsi="Times New Roman"/>
          <w:sz w:val="28"/>
          <w:szCs w:val="28"/>
        </w:rPr>
      </w:pPr>
    </w:p>
    <w:p w:rsidR="004D7285" w:rsidRPr="0092611D" w:rsidRDefault="004D7285" w:rsidP="004D7285">
      <w:pPr>
        <w:tabs>
          <w:tab w:val="left" w:pos="1134"/>
        </w:tabs>
        <w:spacing w:after="0" w:line="240" w:lineRule="auto"/>
        <w:ind w:left="709"/>
        <w:jc w:val="both"/>
        <w:rPr>
          <w:rFonts w:ascii="Times New Roman" w:hAnsi="Times New Roman"/>
          <w:sz w:val="28"/>
          <w:szCs w:val="28"/>
        </w:rPr>
      </w:pPr>
    </w:p>
    <w:p w:rsidR="004D7285" w:rsidRPr="0092611D" w:rsidRDefault="004D7285" w:rsidP="004D7285">
      <w:pPr>
        <w:spacing w:after="0" w:line="240" w:lineRule="auto"/>
        <w:ind w:left="6379" w:right="-426"/>
        <w:rPr>
          <w:rFonts w:ascii="Times New Roman" w:hAnsi="Times New Roman"/>
          <w:sz w:val="28"/>
          <w:szCs w:val="28"/>
        </w:rPr>
      </w:pPr>
      <w:r w:rsidRPr="0092611D">
        <w:rPr>
          <w:rFonts w:ascii="Times New Roman" w:hAnsi="Times New Roman"/>
          <w:sz w:val="28"/>
          <w:szCs w:val="28"/>
        </w:rPr>
        <w:br w:type="page"/>
      </w:r>
      <w:r w:rsidR="00A56217">
        <w:rPr>
          <w:rFonts w:ascii="Times New Roman" w:hAnsi="Times New Roman"/>
          <w:sz w:val="28"/>
          <w:szCs w:val="28"/>
        </w:rPr>
        <w:lastRenderedPageBreak/>
        <w:t xml:space="preserve">Appendix </w:t>
      </w:r>
      <w:r w:rsidRPr="0092611D">
        <w:rPr>
          <w:rFonts w:ascii="Times New Roman" w:hAnsi="Times New Roman"/>
          <w:sz w:val="28"/>
          <w:szCs w:val="28"/>
        </w:rPr>
        <w:t>1</w:t>
      </w:r>
    </w:p>
    <w:p w:rsidR="004D7285" w:rsidRPr="0092611D" w:rsidRDefault="004D7285" w:rsidP="004D7285">
      <w:pPr>
        <w:spacing w:after="0" w:line="240" w:lineRule="auto"/>
        <w:ind w:left="6379" w:right="-426"/>
        <w:rPr>
          <w:rFonts w:ascii="Times New Roman" w:hAnsi="Times New Roman"/>
          <w:sz w:val="28"/>
          <w:szCs w:val="28"/>
        </w:rPr>
      </w:pPr>
      <w:r w:rsidRPr="0092611D">
        <w:rPr>
          <w:rFonts w:ascii="Times New Roman" w:hAnsi="Times New Roman"/>
          <w:sz w:val="28"/>
          <w:szCs w:val="28"/>
        </w:rPr>
        <w:t>to the Methodology for Forming the Balance of Assets and Liabilities</w:t>
      </w:r>
    </w:p>
    <w:p w:rsidR="004D7285" w:rsidRPr="0092611D" w:rsidRDefault="004D7285" w:rsidP="004D7285">
      <w:pPr>
        <w:spacing w:after="0" w:line="240" w:lineRule="auto"/>
        <w:rPr>
          <w:rFonts w:ascii="Times New Roman" w:hAnsi="Times New Roman"/>
          <w:sz w:val="28"/>
          <w:szCs w:val="28"/>
        </w:rPr>
      </w:pPr>
    </w:p>
    <w:p w:rsidR="004D7285" w:rsidRPr="0092611D" w:rsidRDefault="004D7285" w:rsidP="004D7285">
      <w:pPr>
        <w:spacing w:after="0" w:line="240" w:lineRule="auto"/>
        <w:rPr>
          <w:rFonts w:ascii="Times New Roman" w:hAnsi="Times New Roman"/>
          <w:sz w:val="28"/>
          <w:szCs w:val="28"/>
        </w:rPr>
      </w:pPr>
    </w:p>
    <w:p w:rsidR="004D7285" w:rsidRPr="0092611D" w:rsidRDefault="004D7285" w:rsidP="004D7285">
      <w:pPr>
        <w:tabs>
          <w:tab w:val="left" w:pos="993"/>
        </w:tabs>
        <w:spacing w:after="0" w:line="240" w:lineRule="auto"/>
        <w:ind w:left="709"/>
        <w:jc w:val="center"/>
        <w:rPr>
          <w:rFonts w:ascii="Times New Roman" w:hAnsi="Times New Roman"/>
          <w:b/>
          <w:sz w:val="28"/>
          <w:szCs w:val="28"/>
        </w:rPr>
      </w:pPr>
      <w:r w:rsidRPr="0092611D">
        <w:rPr>
          <w:rFonts w:ascii="Times New Roman" w:hAnsi="Times New Roman"/>
          <w:b/>
          <w:sz w:val="28"/>
          <w:szCs w:val="28"/>
        </w:rPr>
        <w:t>The basic identity of the balance sheet of assets and liabilities</w:t>
      </w:r>
    </w:p>
    <w:p w:rsidR="004D7285" w:rsidRPr="0092611D" w:rsidRDefault="004D7285" w:rsidP="004D7285">
      <w:pPr>
        <w:spacing w:after="0" w:line="240" w:lineRule="auto"/>
        <w:rPr>
          <w:rFonts w:ascii="Times New Roman" w:hAnsi="Times New Roman"/>
          <w:sz w:val="28"/>
          <w:szCs w:val="28"/>
        </w:rPr>
      </w:pPr>
    </w:p>
    <w:p w:rsidR="004D7285" w:rsidRPr="0092611D" w:rsidRDefault="004D7285" w:rsidP="004D7285">
      <w:pPr>
        <w:jc w:val="center"/>
        <w:rPr>
          <w:rFonts w:ascii="Times New Roman" w:hAnsi="Times New Roman"/>
          <w:sz w:val="28"/>
          <w:szCs w:val="28"/>
        </w:rPr>
      </w:pPr>
      <w:r w:rsidRPr="0092611D">
        <w:rPr>
          <w:rFonts w:ascii="Times New Roman" w:hAnsi="Times New Roman"/>
          <w:noProof/>
          <w:sz w:val="28"/>
          <w:szCs w:val="28"/>
          <w:lang w:val="ru-RU"/>
        </w:rPr>
        <mc:AlternateContent>
          <mc:Choice Requires="wps">
            <w:drawing>
              <wp:anchor distT="0" distB="0" distL="114300" distR="114300" simplePos="0" relativeHeight="251659264" behindDoc="1" locked="0" layoutInCell="1" allowOverlap="1">
                <wp:simplePos x="0" y="0"/>
                <wp:positionH relativeFrom="column">
                  <wp:posOffset>-1905</wp:posOffset>
                </wp:positionH>
                <wp:positionV relativeFrom="paragraph">
                  <wp:posOffset>24765</wp:posOffset>
                </wp:positionV>
                <wp:extent cx="6170295" cy="275590"/>
                <wp:effectExtent l="12700" t="13335" r="8255"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275590"/>
                        </a:xfrm>
                        <a:prstGeom prst="rect">
                          <a:avLst/>
                        </a:prstGeom>
                        <a:solidFill>
                          <a:srgbClr val="FFFFFF"/>
                        </a:solidFill>
                        <a:ln w="9525">
                          <a:solidFill>
                            <a:srgbClr val="000000"/>
                          </a:solidFill>
                          <a:miter lim="800000"/>
                          <a:headEnd/>
                          <a:tailEnd/>
                        </a:ln>
                      </wps:spPr>
                      <wps:txbx>
                        <w:txbxContent>
                          <w:p w:rsidR="004D7285" w:rsidRPr="004D6A4B" w:rsidRDefault="004D6A4B" w:rsidP="004D7285">
                            <w:pPr>
                              <w:ind w:right="-81"/>
                              <w:rPr>
                                <w:lang w:val="en-US"/>
                              </w:rPr>
                            </w:pPr>
                            <w:r w:rsidRPr="004D6A4B">
                              <w:rPr>
                                <w:rFonts w:ascii="Times New Roman" w:hAnsi="Times New Roman"/>
                                <w:sz w:val="28"/>
                                <w:szCs w:val="28"/>
                                <w:lang w:val="en-US"/>
                              </w:rPr>
                              <w:t>the value of stocks of a certain type of assets in the opening balance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15pt;margin-top:1.95pt;width:485.85pt;height:2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">
                <v:textbox>
                  <w:txbxContent>
                    <w:p w:rsidR="004D7285" w:rsidRPr="004D6A4B" w:rsidRDefault="004D6A4B" w:rsidP="004D7285">
                      <w:pPr>
                        <w:ind w:right="-81"/>
                        <w:rPr>
                          <w:lang w:val="en-US"/>
                        </w:rPr>
                      </w:pPr>
                      <w:r w:rsidRPr="004D6A4B">
                        <w:rPr>
                          <w:rFonts w:ascii="Times New Roman" w:hAnsi="Times New Roman"/>
                          <w:sz w:val="28"/>
                          <w:szCs w:val="28"/>
                          <w:lang w:val="en-US"/>
                        </w:rPr>
                        <w:t>the value of stocks of a certain type of assets in the opening balance sheet</w:t>
                      </w:r>
                    </w:p>
                  </w:txbxContent>
                </v:textbox>
              </v:rect>
            </w:pict>
          </mc:Fallback>
        </mc:AlternateContent>
      </w:r>
    </w:p>
    <w:p w:rsidR="004D7285" w:rsidRPr="0092611D" w:rsidRDefault="004D7285" w:rsidP="004D7285">
      <w:pPr>
        <w:jc w:val="center"/>
        <w:rPr>
          <w:rFonts w:ascii="Times New Roman" w:hAnsi="Times New Roman"/>
          <w:sz w:val="28"/>
          <w:szCs w:val="28"/>
        </w:rPr>
      </w:pPr>
      <w:r w:rsidRPr="0092611D">
        <w:rPr>
          <w:rFonts w:ascii="Times New Roman" w:hAnsi="Times New Roman"/>
          <w:noProof/>
          <w:sz w:val="28"/>
          <w:szCs w:val="28"/>
          <w:lang w:val="ru-RU"/>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285115</wp:posOffset>
                </wp:positionV>
                <wp:extent cx="6170295" cy="1315085"/>
                <wp:effectExtent l="12700" t="6985" r="825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295" cy="131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96B98" id="Прямоугольник 4" o:spid="_x0000_s1026" style="position:absolute;margin-left:-.15pt;margin-top:22.45pt;width:485.85pt;height:10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"/>
            </w:pict>
          </mc:Fallback>
        </mc:AlternateContent>
      </w:r>
      <w:r w:rsidRPr="0092611D">
        <w:rPr>
          <w:rFonts w:ascii="Times New Roman" w:hAnsi="Times New Roman"/>
          <w:sz w:val="28"/>
          <w:szCs w:val="28"/>
        </w:rPr>
        <w:t>+</w:t>
      </w:r>
    </w:p>
    <w:p w:rsidR="004D7285" w:rsidRPr="0092611D" w:rsidRDefault="004D7285" w:rsidP="004D7285">
      <w:pPr>
        <w:tabs>
          <w:tab w:val="left" w:pos="284"/>
        </w:tabs>
        <w:jc w:val="center"/>
        <w:rPr>
          <w:rFonts w:ascii="Times New Roman" w:hAnsi="Times New Roman"/>
          <w:sz w:val="28"/>
          <w:szCs w:val="28"/>
        </w:rPr>
      </w:pPr>
      <w:r w:rsidRPr="0092611D">
        <w:rPr>
          <w:rFonts w:ascii="Times New Roman" w:hAnsi="Times New Roman"/>
          <w:sz w:val="28"/>
          <w:szCs w:val="28"/>
        </w:rPr>
        <w:t xml:space="preserve">the total value of assets acquired </w:t>
      </w:r>
      <w:r w:rsidRPr="0092611D">
        <w:rPr>
          <w:rFonts w:ascii="Times New Roman" w:hAnsi="Times New Roman"/>
          <w:sz w:val="28"/>
          <w:szCs w:val="28"/>
          <w:lang w:val="kk-KZ"/>
        </w:rPr>
        <w:t xml:space="preserve">less </w:t>
      </w:r>
      <w:r w:rsidRPr="0092611D">
        <w:rPr>
          <w:rFonts w:ascii="Times New Roman" w:hAnsi="Times New Roman"/>
          <w:sz w:val="28"/>
          <w:szCs w:val="28"/>
        </w:rPr>
        <w:t>the total value of assets disposed of as a result of transactions completed during the reporting period: transactions in non-financial assets are recorded in the capital account (including consumption of fixed capital), and transactions in financial assets are recorded in the financial account</w:t>
      </w:r>
    </w:p>
    <w:p w:rsidR="004D7285" w:rsidRPr="0092611D" w:rsidRDefault="004D7285" w:rsidP="004D7285">
      <w:pPr>
        <w:jc w:val="center"/>
        <w:rPr>
          <w:rFonts w:ascii="Times New Roman" w:hAnsi="Times New Roman"/>
          <w:sz w:val="28"/>
          <w:szCs w:val="28"/>
        </w:rPr>
      </w:pPr>
      <w:r w:rsidRPr="0092611D">
        <w:rPr>
          <w:rFonts w:ascii="Times New Roman" w:hAnsi="Times New Roman"/>
          <w:noProof/>
          <w:sz w:val="28"/>
          <w:szCs w:val="28"/>
          <w:lang w:val="ru-RU"/>
        </w:rPr>
        <mc:AlternateContent>
          <mc:Choice Requires="wps">
            <w:drawing>
              <wp:anchor distT="0" distB="0" distL="114300" distR="114300" simplePos="0" relativeHeight="251661312" behindDoc="1" locked="0" layoutInCell="1" allowOverlap="1">
                <wp:simplePos x="0" y="0"/>
                <wp:positionH relativeFrom="column">
                  <wp:posOffset>-10160</wp:posOffset>
                </wp:positionH>
                <wp:positionV relativeFrom="paragraph">
                  <wp:posOffset>276860</wp:posOffset>
                </wp:positionV>
                <wp:extent cx="6178550" cy="1298575"/>
                <wp:effectExtent l="13970" t="6350" r="825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1298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01CE1" id="Прямоугольник 3" o:spid="_x0000_s1026" style="position:absolute;margin-left:-.8pt;margin-top:21.8pt;width:486.5pt;height:10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"/>
            </w:pict>
          </mc:Fallback>
        </mc:AlternateContent>
      </w:r>
      <w:r w:rsidRPr="0092611D">
        <w:rPr>
          <w:rFonts w:ascii="Times New Roman" w:hAnsi="Times New Roman"/>
          <w:sz w:val="28"/>
          <w:szCs w:val="28"/>
        </w:rPr>
        <w:t>+</w:t>
      </w:r>
    </w:p>
    <w:p w:rsidR="004D7285" w:rsidRPr="0092611D" w:rsidRDefault="004D7285" w:rsidP="004D7285">
      <w:pPr>
        <w:jc w:val="center"/>
        <w:rPr>
          <w:rFonts w:ascii="Times New Roman" w:hAnsi="Times New Roman"/>
          <w:sz w:val="28"/>
          <w:szCs w:val="28"/>
        </w:rPr>
      </w:pPr>
      <w:r w:rsidRPr="0092611D">
        <w:t xml:space="preserve"> </w:t>
      </w:r>
      <w:r w:rsidRPr="0092611D">
        <w:rPr>
          <w:rFonts w:ascii="Times New Roman" w:hAnsi="Times New Roman"/>
          <w:sz w:val="28"/>
          <w:szCs w:val="28"/>
        </w:rPr>
        <w:t>the value of other changes (with a positive or negative sign) in the volume of assets, for example, as a result of the discovery of new mineral deposits or the destruction of an asset (as a result of war or natural disaster): these changes are reflected in the account of other changes in the volume of assets</w:t>
      </w:r>
    </w:p>
    <w:p w:rsidR="004D7285" w:rsidRPr="0092611D" w:rsidRDefault="004D7285" w:rsidP="004D7285">
      <w:pPr>
        <w:jc w:val="center"/>
        <w:rPr>
          <w:rFonts w:ascii="Times New Roman" w:hAnsi="Times New Roman"/>
          <w:sz w:val="28"/>
          <w:szCs w:val="28"/>
        </w:rPr>
      </w:pPr>
      <w:r w:rsidRPr="0092611D">
        <w:rPr>
          <w:rFonts w:ascii="Times New Roman" w:hAnsi="Times New Roman"/>
          <w:noProof/>
          <w:sz w:val="28"/>
          <w:szCs w:val="28"/>
          <w:lang w:val="ru-RU"/>
        </w:rPr>
        <mc:AlternateContent>
          <mc:Choice Requires="wps">
            <w:drawing>
              <wp:anchor distT="0" distB="0" distL="114300" distR="114300" simplePos="0" relativeHeight="251662336" behindDoc="1" locked="0" layoutInCell="1" allowOverlap="1">
                <wp:simplePos x="0" y="0"/>
                <wp:positionH relativeFrom="column">
                  <wp:posOffset>-1905</wp:posOffset>
                </wp:positionH>
                <wp:positionV relativeFrom="paragraph">
                  <wp:posOffset>273050</wp:posOffset>
                </wp:positionV>
                <wp:extent cx="6219190" cy="756920"/>
                <wp:effectExtent l="12700" t="9525" r="698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190" cy="756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A0C92" id="Прямоугольник 2" o:spid="_x0000_s1026" style="position:absolute;margin-left:-.15pt;margin-top:21.5pt;width:489.7pt;height:5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"/>
            </w:pict>
          </mc:Fallback>
        </mc:AlternateContent>
      </w:r>
      <w:r w:rsidRPr="0092611D">
        <w:rPr>
          <w:rFonts w:ascii="Times New Roman" w:hAnsi="Times New Roman"/>
          <w:sz w:val="28"/>
          <w:szCs w:val="28"/>
        </w:rPr>
        <w:t>+</w:t>
      </w:r>
    </w:p>
    <w:p w:rsidR="004D7285" w:rsidRPr="0092611D" w:rsidRDefault="004D7285" w:rsidP="004D7285">
      <w:pPr>
        <w:spacing w:line="240" w:lineRule="auto"/>
        <w:jc w:val="center"/>
        <w:rPr>
          <w:rFonts w:ascii="Times New Roman" w:hAnsi="Times New Roman"/>
          <w:sz w:val="28"/>
          <w:szCs w:val="28"/>
        </w:rPr>
      </w:pPr>
      <w:r w:rsidRPr="0092611D">
        <w:rPr>
          <w:rFonts w:ascii="Times New Roman" w:hAnsi="Times New Roman"/>
          <w:sz w:val="28"/>
          <w:szCs w:val="28"/>
        </w:rPr>
        <w:t xml:space="preserve">the value of the nominal holding gain (with a positive or negative sign) received during the reporting period as a result of changes in the price of an asset </w:t>
      </w:r>
      <w:r w:rsidRPr="0092611D">
        <w:rPr>
          <w:rFonts w:ascii="Times New Roman" w:hAnsi="Times New Roman"/>
          <w:sz w:val="28"/>
          <w:szCs w:val="28"/>
          <w:lang w:val="kk-KZ"/>
        </w:rPr>
        <w:t xml:space="preserve">: </w:t>
      </w:r>
      <w:r w:rsidRPr="0092611D">
        <w:rPr>
          <w:rFonts w:ascii="Times New Roman" w:hAnsi="Times New Roman"/>
          <w:sz w:val="28"/>
          <w:szCs w:val="28"/>
        </w:rPr>
        <w:t xml:space="preserve">these changes </w:t>
      </w:r>
      <w:r w:rsidRPr="0092611D">
        <w:rPr>
          <w:rFonts w:ascii="Times New Roman" w:hAnsi="Times New Roman"/>
          <w:sz w:val="28"/>
          <w:szCs w:val="28"/>
          <w:lang w:val="x-none"/>
        </w:rPr>
        <w:t xml:space="preserve">are reflected </w:t>
      </w:r>
      <w:r w:rsidRPr="0092611D">
        <w:rPr>
          <w:rFonts w:ascii="Times New Roman" w:hAnsi="Times New Roman"/>
          <w:sz w:val="28"/>
          <w:szCs w:val="28"/>
        </w:rPr>
        <w:t>in the revaluation account</w:t>
      </w:r>
    </w:p>
    <w:p w:rsidR="004D7285" w:rsidRPr="0092611D" w:rsidRDefault="004D7285" w:rsidP="004D7285">
      <w:pPr>
        <w:spacing w:line="240" w:lineRule="auto"/>
        <w:jc w:val="center"/>
        <w:rPr>
          <w:rFonts w:ascii="Times New Roman" w:hAnsi="Times New Roman"/>
          <w:sz w:val="28"/>
          <w:szCs w:val="28"/>
        </w:rPr>
      </w:pPr>
      <w:r w:rsidRPr="0092611D">
        <w:rPr>
          <w:rFonts w:ascii="Times New Roman" w:hAnsi="Times New Roman"/>
          <w:noProof/>
          <w:sz w:val="28"/>
          <w:szCs w:val="28"/>
          <w:lang w:val="ru-RU"/>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314325</wp:posOffset>
                </wp:positionV>
                <wp:extent cx="6219190" cy="304800"/>
                <wp:effectExtent l="12700" t="10160" r="698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19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A6865" id="Прямоугольник 1" o:spid="_x0000_s1026" style="position:absolute;margin-left:-.15pt;margin-top:24.75pt;width:489.7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"/>
            </w:pict>
          </mc:Fallback>
        </mc:AlternateContent>
      </w:r>
      <w:r w:rsidRPr="0092611D">
        <w:rPr>
          <w:rFonts w:ascii="Times New Roman" w:hAnsi="Times New Roman"/>
          <w:sz w:val="28"/>
          <w:szCs w:val="28"/>
        </w:rPr>
        <w:t>=</w:t>
      </w:r>
    </w:p>
    <w:p w:rsidR="004D7285" w:rsidRPr="0092611D" w:rsidRDefault="004D7285" w:rsidP="004D7285">
      <w:pPr>
        <w:spacing w:line="240" w:lineRule="auto"/>
        <w:jc w:val="center"/>
        <w:rPr>
          <w:rFonts w:ascii="Times New Roman" w:hAnsi="Times New Roman"/>
          <w:sz w:val="28"/>
          <w:szCs w:val="28"/>
        </w:rPr>
      </w:pPr>
      <w:r w:rsidRPr="0092611D">
        <w:rPr>
          <w:rFonts w:ascii="Times New Roman" w:hAnsi="Times New Roman"/>
          <w:sz w:val="28"/>
          <w:szCs w:val="28"/>
        </w:rPr>
        <w:t>the value of the stock of assets in the closing balance sheet.</w:t>
      </w:r>
    </w:p>
    <w:p w:rsidR="004D7285" w:rsidRPr="0092611D" w:rsidRDefault="004D7285" w:rsidP="004D7285">
      <w:pPr>
        <w:spacing w:after="0" w:line="240" w:lineRule="auto"/>
        <w:rPr>
          <w:rFonts w:ascii="Times New Roman" w:hAnsi="Times New Roman"/>
          <w:szCs w:val="28"/>
        </w:rPr>
      </w:pPr>
      <w:r w:rsidRPr="0092611D">
        <w:rPr>
          <w:rFonts w:ascii="Times New Roman" w:hAnsi="Times New Roman"/>
          <w:szCs w:val="28"/>
        </w:rPr>
        <w:t>Source SNA 2008.</w:t>
      </w:r>
    </w:p>
    <w:p w:rsidR="004D7285" w:rsidRPr="0092611D" w:rsidRDefault="004D7285" w:rsidP="004D7285">
      <w:pPr>
        <w:ind w:left="5954"/>
        <w:rPr>
          <w:rFonts w:ascii="Times New Roman" w:hAnsi="Times New Roman"/>
          <w:sz w:val="28"/>
          <w:szCs w:val="28"/>
        </w:rPr>
        <w:sectPr w:rsidR="004D7285" w:rsidRPr="0092611D" w:rsidSect="00937D5D">
          <w:headerReference w:type="default" r:id="rId7"/>
          <w:headerReference w:type="first" r:id="rId8"/>
          <w:pgSz w:w="11906" w:h="16838"/>
          <w:pgMar w:top="1418" w:right="851" w:bottom="1418" w:left="1418" w:header="709" w:footer="709" w:gutter="0"/>
          <w:pgNumType w:start="3"/>
          <w:cols w:space="708"/>
          <w:titlePg/>
          <w:docGrid w:linePitch="360"/>
        </w:sectPr>
      </w:pPr>
    </w:p>
    <w:p w:rsidR="004D7285" w:rsidRPr="0092611D" w:rsidRDefault="004D6A4B" w:rsidP="004D7285">
      <w:pPr>
        <w:spacing w:after="0" w:line="240" w:lineRule="auto"/>
        <w:ind w:left="10915"/>
        <w:rPr>
          <w:rFonts w:ascii="Times New Roman" w:hAnsi="Times New Roman"/>
          <w:sz w:val="28"/>
          <w:szCs w:val="28"/>
        </w:rPr>
      </w:pPr>
      <w:r>
        <w:rPr>
          <w:rFonts w:ascii="Times New Roman" w:hAnsi="Times New Roman"/>
          <w:sz w:val="28"/>
          <w:szCs w:val="28"/>
        </w:rPr>
        <w:lastRenderedPageBreak/>
        <w:t>A</w:t>
      </w:r>
      <w:r w:rsidR="00A56217">
        <w:rPr>
          <w:rFonts w:ascii="Times New Roman" w:hAnsi="Times New Roman"/>
          <w:sz w:val="28"/>
          <w:szCs w:val="28"/>
        </w:rPr>
        <w:t xml:space="preserve">ppendix </w:t>
      </w:r>
      <w:r w:rsidR="004D7285" w:rsidRPr="0092611D">
        <w:rPr>
          <w:rFonts w:ascii="Times New Roman" w:hAnsi="Times New Roman"/>
          <w:sz w:val="28"/>
          <w:szCs w:val="28"/>
        </w:rPr>
        <w:t>2</w:t>
      </w:r>
    </w:p>
    <w:p w:rsidR="004D7285" w:rsidRPr="0092611D" w:rsidRDefault="004D7285" w:rsidP="004D7285">
      <w:pPr>
        <w:spacing w:after="0" w:line="240" w:lineRule="auto"/>
        <w:ind w:left="10915"/>
        <w:rPr>
          <w:rFonts w:ascii="Times New Roman" w:hAnsi="Times New Roman"/>
          <w:sz w:val="28"/>
          <w:szCs w:val="28"/>
        </w:rPr>
      </w:pPr>
      <w:r w:rsidRPr="0092611D">
        <w:rPr>
          <w:rFonts w:ascii="Times New Roman" w:hAnsi="Times New Roman"/>
          <w:sz w:val="28"/>
          <w:szCs w:val="28"/>
        </w:rPr>
        <w:t>to the Methodology for Forming the Balance of Assets and Liabilities</w:t>
      </w:r>
    </w:p>
    <w:p w:rsidR="004D7285" w:rsidRPr="0092611D" w:rsidRDefault="004D7285" w:rsidP="004D7285">
      <w:pPr>
        <w:tabs>
          <w:tab w:val="left" w:pos="1134"/>
        </w:tabs>
        <w:spacing w:after="0" w:line="240" w:lineRule="auto"/>
        <w:jc w:val="center"/>
        <w:rPr>
          <w:rFonts w:ascii="Times New Roman" w:hAnsi="Times New Roman"/>
          <w:sz w:val="28"/>
          <w:szCs w:val="28"/>
        </w:rPr>
      </w:pPr>
    </w:p>
    <w:p w:rsidR="004D7285" w:rsidRPr="0092611D" w:rsidRDefault="004D7285" w:rsidP="004D7285">
      <w:pPr>
        <w:tabs>
          <w:tab w:val="left" w:pos="1134"/>
        </w:tabs>
        <w:spacing w:after="0" w:line="240" w:lineRule="auto"/>
        <w:jc w:val="center"/>
        <w:rPr>
          <w:rFonts w:ascii="Times New Roman" w:hAnsi="Times New Roman"/>
          <w:sz w:val="28"/>
          <w:szCs w:val="28"/>
        </w:rPr>
      </w:pPr>
    </w:p>
    <w:p w:rsidR="004D7285" w:rsidRPr="0092611D" w:rsidRDefault="004D7285" w:rsidP="004D7285">
      <w:pPr>
        <w:tabs>
          <w:tab w:val="left" w:pos="1134"/>
        </w:tabs>
        <w:spacing w:after="0" w:line="240" w:lineRule="auto"/>
        <w:jc w:val="center"/>
        <w:rPr>
          <w:rFonts w:ascii="Times New Roman" w:hAnsi="Times New Roman"/>
          <w:b/>
          <w:sz w:val="28"/>
          <w:szCs w:val="28"/>
          <w:lang w:val="kk-KZ"/>
        </w:rPr>
      </w:pPr>
      <w:r w:rsidRPr="0092611D">
        <w:rPr>
          <w:rFonts w:ascii="Times New Roman" w:hAnsi="Times New Roman"/>
          <w:b/>
          <w:sz w:val="28"/>
          <w:szCs w:val="28"/>
        </w:rPr>
        <w:t>The structure of the balance of assets and liabilities</w:t>
      </w:r>
    </w:p>
    <w:p w:rsidR="004D7285" w:rsidRPr="0092611D" w:rsidRDefault="004D7285" w:rsidP="004D7285">
      <w:pPr>
        <w:tabs>
          <w:tab w:val="left" w:pos="1134"/>
        </w:tabs>
        <w:spacing w:after="0" w:line="240" w:lineRule="auto"/>
        <w:jc w:val="center"/>
        <w:rPr>
          <w:rFonts w:ascii="Times New Roman" w:hAnsi="Times New Roman"/>
          <w:sz w:val="20"/>
          <w:szCs w:val="20"/>
        </w:rPr>
      </w:pPr>
    </w:p>
    <w:p w:rsidR="004D7285" w:rsidRPr="0092611D" w:rsidRDefault="004D7285" w:rsidP="004D7285">
      <w:pPr>
        <w:spacing w:after="0" w:line="240" w:lineRule="auto"/>
        <w:ind w:left="-426" w:right="394"/>
        <w:jc w:val="right"/>
        <w:rPr>
          <w:sz w:val="28"/>
        </w:rPr>
      </w:pPr>
      <w:r w:rsidRPr="0092611D">
        <w:rPr>
          <w:rFonts w:ascii="Times New Roman" w:hAnsi="Times New Roman"/>
          <w:b/>
          <w:bCs/>
          <w:sz w:val="20"/>
        </w:rPr>
        <w:t>Stocks of assets and changes in them</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37"/>
        <w:gridCol w:w="6532"/>
        <w:gridCol w:w="890"/>
        <w:gridCol w:w="891"/>
        <w:gridCol w:w="890"/>
        <w:gridCol w:w="891"/>
        <w:gridCol w:w="1060"/>
        <w:gridCol w:w="721"/>
        <w:gridCol w:w="890"/>
        <w:gridCol w:w="940"/>
      </w:tblGrid>
      <w:tr w:rsidR="004D7285" w:rsidRPr="0092611D" w:rsidTr="00333F00">
        <w:trPr>
          <w:trHeight w:val="276"/>
        </w:trPr>
        <w:tc>
          <w:tcPr>
            <w:tcW w:w="1037" w:type="dxa"/>
            <w:vMerge w:val="restart"/>
            <w:shd w:val="clear" w:color="auto" w:fill="FFFFFF"/>
            <w:noWrap/>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Code</w:t>
            </w:r>
          </w:p>
        </w:tc>
        <w:tc>
          <w:tcPr>
            <w:tcW w:w="6532" w:type="dxa"/>
            <w:vMerge w:val="restart"/>
            <w:shd w:val="clear" w:color="auto" w:fill="FFFFFF"/>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Stocks of assets and changes in assets</w:t>
            </w:r>
          </w:p>
        </w:tc>
        <w:tc>
          <w:tcPr>
            <w:tcW w:w="890" w:type="dxa"/>
            <w:shd w:val="clear" w:color="auto" w:fill="FFFFFF"/>
            <w:noWrap/>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S11</w:t>
            </w:r>
          </w:p>
        </w:tc>
        <w:tc>
          <w:tcPr>
            <w:tcW w:w="891" w:type="dxa"/>
            <w:shd w:val="clear" w:color="auto" w:fill="FFFFFF"/>
            <w:noWrap/>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S12</w:t>
            </w:r>
          </w:p>
        </w:tc>
        <w:tc>
          <w:tcPr>
            <w:tcW w:w="890" w:type="dxa"/>
            <w:shd w:val="clear" w:color="auto" w:fill="FFFFFF"/>
            <w:noWrap/>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S13</w:t>
            </w:r>
          </w:p>
        </w:tc>
        <w:tc>
          <w:tcPr>
            <w:tcW w:w="891" w:type="dxa"/>
            <w:shd w:val="clear" w:color="auto" w:fill="FFFFFF"/>
            <w:noWrap/>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S14</w:t>
            </w:r>
          </w:p>
        </w:tc>
        <w:tc>
          <w:tcPr>
            <w:tcW w:w="1060" w:type="dxa"/>
            <w:shd w:val="clear" w:color="auto" w:fill="FFFFFF"/>
            <w:noWrap/>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S15</w:t>
            </w:r>
          </w:p>
        </w:tc>
        <w:tc>
          <w:tcPr>
            <w:tcW w:w="721" w:type="dxa"/>
            <w:shd w:val="clear" w:color="auto" w:fill="FFFFFF"/>
            <w:noWrap/>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S1</w:t>
            </w:r>
          </w:p>
        </w:tc>
        <w:tc>
          <w:tcPr>
            <w:tcW w:w="890" w:type="dxa"/>
            <w:shd w:val="clear" w:color="auto" w:fill="FFFFFF"/>
            <w:noWrap/>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S2</w:t>
            </w:r>
          </w:p>
        </w:tc>
        <w:tc>
          <w:tcPr>
            <w:tcW w:w="940" w:type="dxa"/>
            <w:shd w:val="clear" w:color="auto" w:fill="FFFFFF"/>
            <w:noWrap/>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p>
        </w:tc>
      </w:tr>
      <w:tr w:rsidR="004D7285" w:rsidRPr="0092611D" w:rsidTr="00333F00">
        <w:trPr>
          <w:trHeight w:val="1425"/>
        </w:trPr>
        <w:tc>
          <w:tcPr>
            <w:tcW w:w="1037" w:type="dxa"/>
            <w:vMerge/>
            <w:shd w:val="clear" w:color="auto" w:fill="FFFFFF"/>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p>
        </w:tc>
        <w:tc>
          <w:tcPr>
            <w:tcW w:w="6532" w:type="dxa"/>
            <w:vMerge/>
            <w:shd w:val="clear" w:color="auto" w:fill="FFFFFF"/>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p>
        </w:tc>
        <w:tc>
          <w:tcPr>
            <w:tcW w:w="890" w:type="dxa"/>
            <w:shd w:val="clear" w:color="auto" w:fill="FFFFFF"/>
            <w:textDirection w:val="btLr"/>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Non-financial corporations</w:t>
            </w:r>
          </w:p>
        </w:tc>
        <w:tc>
          <w:tcPr>
            <w:tcW w:w="891" w:type="dxa"/>
            <w:shd w:val="clear" w:color="auto" w:fill="FFFFFF"/>
            <w:textDirection w:val="btLr"/>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financial corporations</w:t>
            </w:r>
          </w:p>
        </w:tc>
        <w:tc>
          <w:tcPr>
            <w:tcW w:w="890" w:type="dxa"/>
            <w:shd w:val="clear" w:color="auto" w:fill="FFFFFF"/>
            <w:textDirection w:val="btLr"/>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States. control</w:t>
            </w:r>
          </w:p>
        </w:tc>
        <w:tc>
          <w:tcPr>
            <w:tcW w:w="891" w:type="dxa"/>
            <w:shd w:val="clear" w:color="auto" w:fill="FFFFFF"/>
            <w:textDirection w:val="btLr"/>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households</w:t>
            </w:r>
          </w:p>
        </w:tc>
        <w:tc>
          <w:tcPr>
            <w:tcW w:w="1060" w:type="dxa"/>
            <w:shd w:val="clear" w:color="auto" w:fill="FFFFFF"/>
            <w:textDirection w:val="btLr"/>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Non-Profit Organizations Serving Households</w:t>
            </w:r>
          </w:p>
        </w:tc>
        <w:tc>
          <w:tcPr>
            <w:tcW w:w="721" w:type="dxa"/>
            <w:shd w:val="clear" w:color="auto" w:fill="FFFFFF"/>
            <w:textDirection w:val="btLr"/>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Economy as a whole</w:t>
            </w:r>
          </w:p>
        </w:tc>
        <w:tc>
          <w:tcPr>
            <w:tcW w:w="890" w:type="dxa"/>
            <w:shd w:val="clear" w:color="auto" w:fill="FFFFFF"/>
            <w:textDirection w:val="btLr"/>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The rest of the world</w:t>
            </w:r>
          </w:p>
        </w:tc>
        <w:tc>
          <w:tcPr>
            <w:tcW w:w="940" w:type="dxa"/>
            <w:shd w:val="clear" w:color="auto" w:fill="FFFFFF"/>
            <w:textDirection w:val="btLr"/>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Total</w:t>
            </w:r>
          </w:p>
        </w:tc>
      </w:tr>
      <w:tr w:rsidR="004D7285" w:rsidRPr="0092611D" w:rsidTr="00333F00">
        <w:trPr>
          <w:trHeight w:val="267"/>
        </w:trPr>
        <w:tc>
          <w:tcPr>
            <w:tcW w:w="14742" w:type="dxa"/>
            <w:gridSpan w:val="10"/>
            <w:shd w:val="clear" w:color="auto" w:fill="FFFFFF"/>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b/>
                <w:bCs/>
                <w:sz w:val="16"/>
                <w:szCs w:val="16"/>
              </w:rPr>
              <w:t>Opening balance of assets and liabilities</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rPr>
                <w:rFonts w:ascii="Times New Roman" w:hAnsi="Times New Roman"/>
                <w:i/>
                <w:iCs/>
                <w:sz w:val="16"/>
                <w:szCs w:val="16"/>
              </w:rPr>
            </w:pPr>
            <w:r w:rsidRPr="0092611D">
              <w:rPr>
                <w:rFonts w:ascii="Times New Roman" w:hAnsi="Times New Roman"/>
                <w:i/>
                <w:iCs/>
                <w:sz w:val="16"/>
                <w:szCs w:val="16"/>
              </w:rPr>
              <w:t>AN</w:t>
            </w:r>
          </w:p>
        </w:tc>
        <w:tc>
          <w:tcPr>
            <w:tcW w:w="6532"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Non-financial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2151</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93</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789</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1429</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159</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4621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4621</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AN1</w:t>
            </w:r>
          </w:p>
        </w:tc>
        <w:tc>
          <w:tcPr>
            <w:tcW w:w="6532" w:type="dxa"/>
            <w:shd w:val="clear" w:color="auto" w:fill="FFFFFF"/>
            <w:noWrap/>
            <w:vAlign w:val="bottom"/>
            <w:hideMark/>
          </w:tcPr>
          <w:p w:rsidR="004D7285" w:rsidRPr="0092611D" w:rsidRDefault="004D7285" w:rsidP="00333F00">
            <w:pPr>
              <w:spacing w:after="0" w:line="240" w:lineRule="auto"/>
              <w:ind w:left="227"/>
              <w:contextualSpacing/>
              <w:outlineLvl w:val="0"/>
              <w:rPr>
                <w:rFonts w:ascii="Times New Roman" w:hAnsi="Times New Roman"/>
                <w:sz w:val="16"/>
                <w:szCs w:val="16"/>
              </w:rPr>
            </w:pPr>
            <w:r w:rsidRPr="0092611D">
              <w:rPr>
                <w:rFonts w:ascii="Times New Roman" w:hAnsi="Times New Roman"/>
                <w:sz w:val="16"/>
                <w:szCs w:val="16"/>
              </w:rPr>
              <w:t>Produced non-financial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1 274</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67</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497</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856</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124</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2818</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2818</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AN11</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Fixed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1 226</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52</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467</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713</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121</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2579</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2579</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AN12</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Inventory</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43</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22</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48</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114</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114</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AN13</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Values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15</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95</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125</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125</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AN2</w:t>
            </w:r>
          </w:p>
        </w:tc>
        <w:tc>
          <w:tcPr>
            <w:tcW w:w="6532" w:type="dxa"/>
            <w:shd w:val="clear" w:color="auto" w:fill="FFFFFF"/>
            <w:noWrap/>
            <w:vAlign w:val="bottom"/>
            <w:hideMark/>
          </w:tcPr>
          <w:p w:rsidR="004D7285" w:rsidRPr="0092611D" w:rsidRDefault="004D7285" w:rsidP="00333F00">
            <w:pPr>
              <w:spacing w:after="0" w:line="240" w:lineRule="auto"/>
              <w:ind w:left="227"/>
              <w:contextualSpacing/>
              <w:outlineLvl w:val="0"/>
              <w:rPr>
                <w:rFonts w:ascii="Times New Roman" w:hAnsi="Times New Roman"/>
                <w:sz w:val="16"/>
                <w:szCs w:val="16"/>
              </w:rPr>
            </w:pPr>
            <w:r w:rsidRPr="0092611D">
              <w:rPr>
                <w:rFonts w:ascii="Times New Roman" w:hAnsi="Times New Roman"/>
                <w:sz w:val="16"/>
                <w:szCs w:val="16"/>
              </w:rPr>
              <w:t>Non-produced non-financial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877</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26</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292</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573</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35</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1 803</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1 803</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AN21</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Natural resources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864</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23</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286</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573</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35</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1 781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1 781</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AN22</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Contracts, leases and licenses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13</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6</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22</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22</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AN23</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Goodwill and Marketing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 </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 </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rPr>
                <w:rFonts w:ascii="Times New Roman" w:hAnsi="Times New Roman"/>
                <w:i/>
                <w:iCs/>
                <w:sz w:val="16"/>
                <w:szCs w:val="16"/>
              </w:rPr>
            </w:pPr>
            <w:r w:rsidRPr="0092611D">
              <w:rPr>
                <w:rFonts w:ascii="Times New Roman" w:hAnsi="Times New Roman"/>
                <w:i/>
                <w:iCs/>
                <w:sz w:val="16"/>
                <w:szCs w:val="16"/>
              </w:rPr>
              <w:t>AF</w:t>
            </w:r>
          </w:p>
        </w:tc>
        <w:tc>
          <w:tcPr>
            <w:tcW w:w="6532"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Financial assets/liabilities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982</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3421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396</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3 260</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172</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8 231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805</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9036</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AF1</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 xml:space="preserve">Monetary Gold and </w:t>
            </w:r>
            <w:r w:rsidRPr="0092611D">
              <w:rPr>
                <w:rFonts w:ascii="Times New Roman" w:hAnsi="Times New Roman"/>
                <w:sz w:val="16"/>
                <w:szCs w:val="16"/>
                <w:lang w:val="kk-KZ"/>
              </w:rPr>
              <w:t xml:space="preserve">Special </w:t>
            </w:r>
            <w:r w:rsidRPr="0092611D">
              <w:rPr>
                <w:rFonts w:ascii="Times New Roman" w:hAnsi="Times New Roman"/>
                <w:sz w:val="16"/>
                <w:szCs w:val="16"/>
              </w:rPr>
              <w:t xml:space="preserve">Drawing </w:t>
            </w:r>
            <w:r w:rsidRPr="0092611D">
              <w:rPr>
                <w:rFonts w:ascii="Times New Roman" w:hAnsi="Times New Roman"/>
                <w:sz w:val="16"/>
                <w:szCs w:val="16"/>
                <w:lang w:val="kk-KZ"/>
              </w:rPr>
              <w:t>Rights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690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770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770</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AF2</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Cash currency and deposits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382</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150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840</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110</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1482</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105</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1 587</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AF3</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Debt securities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90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950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198</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25</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1 263</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125</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1 388</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AF4</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Loans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1 187</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115</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24</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1 384</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70</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1454</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AF5</w:t>
            </w:r>
          </w:p>
        </w:tc>
        <w:tc>
          <w:tcPr>
            <w:tcW w:w="6532"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Share capital and shares of investment funds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280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551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12</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1 749</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22</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2614</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345</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2959</w:t>
            </w:r>
          </w:p>
        </w:tc>
      </w:tr>
      <w:tr w:rsidR="004D7285" w:rsidRPr="0092611D" w:rsidTr="00333F00">
        <w:trPr>
          <w:trHeight w:val="324"/>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AF6</w:t>
            </w:r>
          </w:p>
        </w:tc>
        <w:tc>
          <w:tcPr>
            <w:tcW w:w="6532"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Insurance, Pension and Standardized Guarantee Programs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25</w:t>
            </w:r>
          </w:p>
        </w:tc>
        <w:tc>
          <w:tcPr>
            <w:tcW w:w="891" w:type="dxa"/>
            <w:shd w:val="clear" w:color="auto" w:fill="FFFFFF"/>
            <w:noWrap/>
            <w:vAlign w:val="bottom"/>
            <w:hideMark/>
          </w:tcPr>
          <w:p w:rsidR="004D7285" w:rsidRPr="0092611D" w:rsidRDefault="0089426D" w:rsidP="00333F00">
            <w:pPr>
              <w:spacing w:after="0" w:line="240" w:lineRule="auto"/>
              <w:contextualSpacing/>
              <w:jc w:val="right"/>
              <w:rPr>
                <w:rFonts w:ascii="Times New Roman" w:hAnsi="Times New Roman"/>
                <w:sz w:val="16"/>
                <w:szCs w:val="16"/>
              </w:rPr>
            </w:pPr>
            <w:r>
              <w:rPr>
                <w:rFonts w:ascii="Times New Roman" w:hAnsi="Times New Roman"/>
                <w:sz w:val="16"/>
                <w:szCs w:val="16"/>
              </w:rPr>
              <w:t>30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391</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470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26</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496</w:t>
            </w:r>
          </w:p>
        </w:tc>
      </w:tr>
      <w:tr w:rsidR="004D7285" w:rsidRPr="0092611D" w:rsidTr="00333F00">
        <w:trPr>
          <w:trHeight w:val="372"/>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AF7</w:t>
            </w:r>
          </w:p>
        </w:tc>
        <w:tc>
          <w:tcPr>
            <w:tcW w:w="6532"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Derivative financial instruments and employee share options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13</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21</w:t>
            </w:r>
          </w:p>
        </w:tc>
      </w:tr>
      <w:tr w:rsidR="004D7285" w:rsidRPr="0092611D" w:rsidTr="00333F00">
        <w:trPr>
          <w:trHeight w:val="264"/>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AF8</w:t>
            </w:r>
          </w:p>
        </w:tc>
        <w:tc>
          <w:tcPr>
            <w:tcW w:w="6532"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Other accounts receivable/payable</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150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19</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55</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227</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134</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361</w:t>
            </w:r>
          </w:p>
        </w:tc>
      </w:tr>
      <w:tr w:rsidR="004D7285" w:rsidRPr="0092611D" w:rsidTr="00333F00">
        <w:trPr>
          <w:trHeight w:val="322"/>
        </w:trPr>
        <w:tc>
          <w:tcPr>
            <w:tcW w:w="14742" w:type="dxa"/>
            <w:gridSpan w:val="10"/>
            <w:shd w:val="clear" w:color="auto" w:fill="FFFFFF"/>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b/>
                <w:bCs/>
                <w:sz w:val="16"/>
                <w:szCs w:val="16"/>
              </w:rPr>
              <w:t>Total change in assets</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rPr>
                <w:rFonts w:ascii="Times New Roman" w:hAnsi="Times New Roman"/>
                <w:i/>
                <w:iCs/>
                <w:sz w:val="16"/>
                <w:szCs w:val="16"/>
              </w:rPr>
            </w:pPr>
            <w:r w:rsidRPr="0092611D">
              <w:rPr>
                <w:rFonts w:ascii="Times New Roman" w:hAnsi="Times New Roman"/>
                <w:i/>
                <w:iCs/>
                <w:sz w:val="16"/>
                <w:szCs w:val="16"/>
              </w:rPr>
              <w:lastRenderedPageBreak/>
              <w:t>AN</w:t>
            </w:r>
          </w:p>
        </w:tc>
        <w:tc>
          <w:tcPr>
            <w:tcW w:w="6532" w:type="dxa"/>
            <w:shd w:val="clear" w:color="auto" w:fill="FFFFFF"/>
            <w:noWrap/>
            <w:vAlign w:val="bottom"/>
            <w:hideMark/>
          </w:tcPr>
          <w:p w:rsidR="004D7285" w:rsidRPr="0092611D" w:rsidRDefault="004D7285" w:rsidP="00333F00">
            <w:pPr>
              <w:spacing w:after="0" w:line="240" w:lineRule="auto"/>
              <w:contextualSpacing/>
              <w:outlineLvl w:val="0"/>
              <w:rPr>
                <w:rFonts w:ascii="Times New Roman" w:hAnsi="Times New Roman"/>
                <w:sz w:val="16"/>
                <w:szCs w:val="16"/>
              </w:rPr>
            </w:pPr>
            <w:r w:rsidRPr="0092611D">
              <w:rPr>
                <w:rFonts w:ascii="Times New Roman" w:hAnsi="Times New Roman"/>
                <w:sz w:val="16"/>
                <w:szCs w:val="16"/>
              </w:rPr>
              <w:t>Non-financial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300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- 2</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57</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116</w:t>
            </w:r>
          </w:p>
        </w:tc>
        <w:tc>
          <w:tcPr>
            <w:tcW w:w="1060" w:type="dxa"/>
            <w:shd w:val="clear" w:color="auto" w:fill="FFFFFF"/>
            <w:noWrap/>
            <w:vAlign w:val="bottom"/>
            <w:hideMark/>
          </w:tcPr>
          <w:p w:rsidR="004D7285" w:rsidRPr="0092611D" w:rsidRDefault="0089426D" w:rsidP="00333F00">
            <w:pPr>
              <w:spacing w:after="0" w:line="240" w:lineRule="auto"/>
              <w:contextualSpacing/>
              <w:jc w:val="right"/>
              <w:rPr>
                <w:rFonts w:ascii="Times New Roman" w:hAnsi="Times New Roman"/>
                <w:sz w:val="16"/>
                <w:szCs w:val="16"/>
              </w:rPr>
            </w:pPr>
            <w:r>
              <w:rPr>
                <w:rFonts w:ascii="Times New Roman" w:hAnsi="Times New Roman"/>
                <w:sz w:val="16"/>
                <w:szCs w:val="16"/>
              </w:rPr>
              <w:t>11</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482</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482</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AN1</w:t>
            </w:r>
          </w:p>
        </w:tc>
        <w:tc>
          <w:tcPr>
            <w:tcW w:w="6532" w:type="dxa"/>
            <w:shd w:val="clear" w:color="auto" w:fill="FFFFFF"/>
            <w:noWrap/>
            <w:vAlign w:val="bottom"/>
            <w:hideMark/>
          </w:tcPr>
          <w:p w:rsidR="004D7285" w:rsidRPr="0092611D" w:rsidRDefault="004D7285" w:rsidP="00333F00">
            <w:pPr>
              <w:spacing w:after="0" w:line="240" w:lineRule="auto"/>
              <w:ind w:left="227"/>
              <w:contextualSpacing/>
              <w:outlineLvl w:val="0"/>
              <w:rPr>
                <w:rFonts w:ascii="Times New Roman" w:hAnsi="Times New Roman"/>
                <w:sz w:val="16"/>
                <w:szCs w:val="16"/>
              </w:rPr>
            </w:pPr>
            <w:r w:rsidRPr="0092611D">
              <w:rPr>
                <w:rFonts w:ascii="Times New Roman" w:hAnsi="Times New Roman"/>
                <w:sz w:val="16"/>
                <w:szCs w:val="16"/>
              </w:rPr>
              <w:t>Produced non-financial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195</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- 4</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29</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67</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294</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294</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AN11</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Fixed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165</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- 2</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23</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53</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246</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246</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AN12</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Inventory</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27</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32</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32</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AN13</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Values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- 2</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10</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16</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16</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AN2</w:t>
            </w:r>
          </w:p>
        </w:tc>
        <w:tc>
          <w:tcPr>
            <w:tcW w:w="6532" w:type="dxa"/>
            <w:shd w:val="clear" w:color="auto" w:fill="FFFFFF"/>
            <w:noWrap/>
            <w:vAlign w:val="bottom"/>
            <w:hideMark/>
          </w:tcPr>
          <w:p w:rsidR="004D7285" w:rsidRPr="0092611D" w:rsidRDefault="004D7285" w:rsidP="00333F00">
            <w:pPr>
              <w:spacing w:after="0" w:line="240" w:lineRule="auto"/>
              <w:ind w:left="227"/>
              <w:contextualSpacing/>
              <w:outlineLvl w:val="0"/>
              <w:rPr>
                <w:rFonts w:ascii="Times New Roman" w:hAnsi="Times New Roman"/>
                <w:sz w:val="16"/>
                <w:szCs w:val="16"/>
              </w:rPr>
            </w:pPr>
            <w:r w:rsidRPr="0092611D">
              <w:rPr>
                <w:rFonts w:ascii="Times New Roman" w:hAnsi="Times New Roman"/>
                <w:sz w:val="16"/>
                <w:szCs w:val="16"/>
              </w:rPr>
              <w:t>Non-produced non-financial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105</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28</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49</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188</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188</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AN21</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Natural resources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101</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26</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48</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180</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180</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AN22</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Contracts, leases and licenses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AN23</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Goodwill and Marketing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rPr>
                <w:rFonts w:ascii="Times New Roman" w:hAnsi="Times New Roman"/>
                <w:i/>
                <w:iCs/>
                <w:sz w:val="16"/>
                <w:szCs w:val="16"/>
              </w:rPr>
            </w:pPr>
            <w:r w:rsidRPr="0092611D">
              <w:rPr>
                <w:rFonts w:ascii="Times New Roman" w:hAnsi="Times New Roman"/>
                <w:i/>
                <w:iCs/>
                <w:sz w:val="16"/>
                <w:szCs w:val="16"/>
              </w:rPr>
              <w:t>AF</w:t>
            </w:r>
          </w:p>
        </w:tc>
        <w:tc>
          <w:tcPr>
            <w:tcW w:w="6532" w:type="dxa"/>
            <w:shd w:val="clear" w:color="auto" w:fill="FFFFFF"/>
            <w:noWrap/>
            <w:vAlign w:val="bottom"/>
            <w:hideMark/>
          </w:tcPr>
          <w:p w:rsidR="004D7285" w:rsidRPr="0092611D" w:rsidRDefault="004D7285" w:rsidP="00333F00">
            <w:pPr>
              <w:spacing w:after="0" w:line="240" w:lineRule="auto"/>
              <w:contextualSpacing/>
              <w:outlineLvl w:val="0"/>
              <w:rPr>
                <w:rFonts w:ascii="Times New Roman" w:hAnsi="Times New Roman"/>
                <w:sz w:val="16"/>
                <w:szCs w:val="16"/>
              </w:rPr>
            </w:pPr>
            <w:r w:rsidRPr="0092611D">
              <w:rPr>
                <w:rFonts w:ascii="Times New Roman" w:hAnsi="Times New Roman"/>
                <w:sz w:val="16"/>
                <w:szCs w:val="16"/>
              </w:rPr>
              <w:t>Financial assets/liabilities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93</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230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- 9</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205</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523</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54</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577</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AF1</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 xml:space="preserve">Monetary Gold and </w:t>
            </w:r>
            <w:r w:rsidRPr="0092611D">
              <w:rPr>
                <w:rFonts w:ascii="Times New Roman" w:hAnsi="Times New Roman"/>
                <w:sz w:val="16"/>
                <w:szCs w:val="16"/>
                <w:lang w:val="kk-KZ"/>
              </w:rPr>
              <w:t xml:space="preserve">Special </w:t>
            </w:r>
            <w:r w:rsidRPr="0092611D">
              <w:rPr>
                <w:rFonts w:ascii="Times New Roman" w:hAnsi="Times New Roman"/>
                <w:sz w:val="16"/>
                <w:szCs w:val="16"/>
              </w:rPr>
              <w:t xml:space="preserve">Drawing </w:t>
            </w:r>
            <w:r w:rsidRPr="0092611D">
              <w:rPr>
                <w:rFonts w:ascii="Times New Roman" w:hAnsi="Times New Roman"/>
                <w:sz w:val="16"/>
                <w:szCs w:val="16"/>
                <w:lang w:val="kk-KZ"/>
              </w:rPr>
              <w:t>Rights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721" w:type="dxa"/>
            <w:shd w:val="clear" w:color="auto" w:fill="FFFFFF"/>
            <w:noWrap/>
            <w:vAlign w:val="bottom"/>
            <w:hideMark/>
          </w:tcPr>
          <w:p w:rsidR="004D7285" w:rsidRPr="0092611D" w:rsidRDefault="0089426D" w:rsidP="00333F00">
            <w:pPr>
              <w:spacing w:after="0" w:line="240" w:lineRule="auto"/>
              <w:contextualSpacing/>
              <w:jc w:val="right"/>
              <w:rPr>
                <w:rFonts w:ascii="Times New Roman" w:hAnsi="Times New Roman"/>
                <w:sz w:val="16"/>
                <w:szCs w:val="16"/>
              </w:rPr>
            </w:pPr>
            <w:r>
              <w:rPr>
                <w:rFonts w:ascii="Times New Roman" w:hAnsi="Times New Roman"/>
                <w:sz w:val="16"/>
                <w:szCs w:val="16"/>
              </w:rPr>
              <w:t>11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12</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AF2</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Cash currency and deposits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39</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- 26</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64</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89</w:t>
            </w:r>
          </w:p>
        </w:tc>
        <w:tc>
          <w:tcPr>
            <w:tcW w:w="890" w:type="dxa"/>
            <w:shd w:val="clear" w:color="auto" w:fill="FFFFFF"/>
            <w:noWrap/>
            <w:vAlign w:val="bottom"/>
            <w:hideMark/>
          </w:tcPr>
          <w:p w:rsidR="004D7285" w:rsidRPr="0092611D" w:rsidRDefault="0089426D" w:rsidP="00333F00">
            <w:pPr>
              <w:spacing w:after="0" w:line="240" w:lineRule="auto"/>
              <w:contextualSpacing/>
              <w:jc w:val="right"/>
              <w:rPr>
                <w:rFonts w:ascii="Times New Roman" w:hAnsi="Times New Roman"/>
                <w:sz w:val="16"/>
                <w:szCs w:val="16"/>
              </w:rPr>
            </w:pPr>
            <w:r>
              <w:rPr>
                <w:rFonts w:ascii="Times New Roman" w:hAnsi="Times New Roman"/>
                <w:sz w:val="16"/>
                <w:szCs w:val="16"/>
              </w:rPr>
              <w:t>11</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100</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AF3</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Debt securities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96</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16</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126</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13</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139</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AF4</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Loans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19</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53</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78</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82</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AF5</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Share capital and shares of investment funds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17</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44</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76</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141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15</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156</w:t>
            </w:r>
          </w:p>
        </w:tc>
      </w:tr>
      <w:tr w:rsidR="004D7285" w:rsidRPr="0092611D" w:rsidTr="00333F00">
        <w:trPr>
          <w:trHeight w:val="357"/>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AF6</w:t>
            </w:r>
          </w:p>
        </w:tc>
        <w:tc>
          <w:tcPr>
            <w:tcW w:w="6532"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Insurance, Pension and Standardized Guarantee Programs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39</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49</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49</w:t>
            </w:r>
          </w:p>
        </w:tc>
      </w:tr>
      <w:tr w:rsidR="004D7285" w:rsidRPr="0092611D" w:rsidTr="00333F00">
        <w:trPr>
          <w:trHeight w:val="405"/>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AF7</w:t>
            </w:r>
          </w:p>
        </w:tc>
        <w:tc>
          <w:tcPr>
            <w:tcW w:w="6532"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Derivative financial instruments and employee share options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14</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14</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AF8</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Other accounts receivable/payable</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15</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10</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25</w:t>
            </w:r>
          </w:p>
        </w:tc>
      </w:tr>
      <w:tr w:rsidR="004D7285" w:rsidRPr="0092611D" w:rsidTr="00333F00">
        <w:trPr>
          <w:trHeight w:val="246"/>
        </w:trPr>
        <w:tc>
          <w:tcPr>
            <w:tcW w:w="14742" w:type="dxa"/>
            <w:gridSpan w:val="10"/>
            <w:shd w:val="clear" w:color="auto" w:fill="FFFFFF"/>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b/>
                <w:bCs/>
                <w:sz w:val="16"/>
                <w:szCs w:val="16"/>
              </w:rPr>
              <w:t>Closing balance sheet of assets and liabilities</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rPr>
                <w:rFonts w:ascii="Times New Roman" w:hAnsi="Times New Roman"/>
                <w:i/>
                <w:iCs/>
                <w:sz w:val="16"/>
                <w:szCs w:val="16"/>
              </w:rPr>
            </w:pPr>
            <w:r w:rsidRPr="0092611D">
              <w:rPr>
                <w:rFonts w:ascii="Times New Roman" w:hAnsi="Times New Roman"/>
                <w:i/>
                <w:iCs/>
                <w:sz w:val="16"/>
                <w:szCs w:val="16"/>
              </w:rPr>
              <w:t>AN</w:t>
            </w:r>
          </w:p>
        </w:tc>
        <w:tc>
          <w:tcPr>
            <w:tcW w:w="6532"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Non-financial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2451</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91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846</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1 545</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170</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5 103</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5 103</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AN1</w:t>
            </w:r>
          </w:p>
        </w:tc>
        <w:tc>
          <w:tcPr>
            <w:tcW w:w="6532" w:type="dxa"/>
            <w:shd w:val="clear" w:color="auto" w:fill="FFFFFF"/>
            <w:noWrap/>
            <w:vAlign w:val="bottom"/>
            <w:hideMark/>
          </w:tcPr>
          <w:p w:rsidR="004D7285" w:rsidRPr="0092611D" w:rsidRDefault="004D7285" w:rsidP="00333F00">
            <w:pPr>
              <w:spacing w:after="0" w:line="240" w:lineRule="auto"/>
              <w:ind w:left="227"/>
              <w:contextualSpacing/>
              <w:outlineLvl w:val="0"/>
              <w:rPr>
                <w:rFonts w:ascii="Times New Roman" w:hAnsi="Times New Roman"/>
                <w:sz w:val="16"/>
                <w:szCs w:val="16"/>
              </w:rPr>
            </w:pPr>
            <w:r w:rsidRPr="0092611D">
              <w:rPr>
                <w:rFonts w:ascii="Times New Roman" w:hAnsi="Times New Roman"/>
                <w:sz w:val="16"/>
                <w:szCs w:val="16"/>
              </w:rPr>
              <w:t>Produced non-financial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1469</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63</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526</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923</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131</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3 112</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3 112</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AN11</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Fixed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1 391</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490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766</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128</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2825</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2825</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AN12</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Inventory</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23</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52</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146</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146</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AN13</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Values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13</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13</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105</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141</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141</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AN2</w:t>
            </w:r>
          </w:p>
        </w:tc>
        <w:tc>
          <w:tcPr>
            <w:tcW w:w="6532" w:type="dxa"/>
            <w:shd w:val="clear" w:color="auto" w:fill="FFFFFF"/>
            <w:noWrap/>
            <w:vAlign w:val="bottom"/>
            <w:hideMark/>
          </w:tcPr>
          <w:p w:rsidR="004D7285" w:rsidRPr="0092611D" w:rsidRDefault="004D7285" w:rsidP="00333F00">
            <w:pPr>
              <w:spacing w:after="0" w:line="240" w:lineRule="auto"/>
              <w:ind w:left="227"/>
              <w:contextualSpacing/>
              <w:outlineLvl w:val="0"/>
              <w:rPr>
                <w:rFonts w:ascii="Times New Roman" w:hAnsi="Times New Roman"/>
                <w:sz w:val="16"/>
                <w:szCs w:val="16"/>
              </w:rPr>
            </w:pPr>
            <w:r w:rsidRPr="0092611D">
              <w:rPr>
                <w:rFonts w:ascii="Times New Roman" w:hAnsi="Times New Roman"/>
                <w:sz w:val="16"/>
                <w:szCs w:val="16"/>
              </w:rPr>
              <w:t>Non-produced non-financial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982</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28</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320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622</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39</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1 991</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1 991</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AN21</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Natural resources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965</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24</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312</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621</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39</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1 961</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1 961</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AN22</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Contracts, leases and licenses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17</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721" w:type="dxa"/>
            <w:shd w:val="clear" w:color="auto" w:fill="FFFFFF"/>
            <w:noWrap/>
            <w:vAlign w:val="bottom"/>
            <w:hideMark/>
          </w:tcPr>
          <w:p w:rsidR="004D7285" w:rsidRPr="0092611D" w:rsidRDefault="0089426D" w:rsidP="00333F00">
            <w:pPr>
              <w:spacing w:after="0" w:line="240" w:lineRule="auto"/>
              <w:contextualSpacing/>
              <w:jc w:val="right"/>
              <w:rPr>
                <w:rFonts w:ascii="Times New Roman" w:hAnsi="Times New Roman"/>
                <w:sz w:val="16"/>
                <w:szCs w:val="16"/>
              </w:rPr>
            </w:pPr>
            <w:r>
              <w:rPr>
                <w:rFonts w:ascii="Times New Roman" w:hAnsi="Times New Roman"/>
                <w:sz w:val="16"/>
                <w:szCs w:val="16"/>
              </w:rPr>
              <w:t>30</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89426D" w:rsidP="00333F00">
            <w:pPr>
              <w:spacing w:after="0" w:line="240" w:lineRule="auto"/>
              <w:contextualSpacing/>
              <w:jc w:val="right"/>
              <w:rPr>
                <w:rFonts w:ascii="Times New Roman" w:hAnsi="Times New Roman"/>
                <w:sz w:val="16"/>
                <w:szCs w:val="16"/>
              </w:rPr>
            </w:pPr>
            <w:r>
              <w:rPr>
                <w:rFonts w:ascii="Times New Roman" w:hAnsi="Times New Roman"/>
                <w:sz w:val="16"/>
                <w:szCs w:val="16"/>
              </w:rPr>
              <w:t>30</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1"/>
              <w:rPr>
                <w:rFonts w:ascii="Times New Roman" w:hAnsi="Times New Roman"/>
                <w:i/>
                <w:iCs/>
                <w:sz w:val="16"/>
                <w:szCs w:val="16"/>
              </w:rPr>
            </w:pPr>
            <w:r w:rsidRPr="0092611D">
              <w:rPr>
                <w:rFonts w:ascii="Times New Roman" w:hAnsi="Times New Roman"/>
                <w:i/>
                <w:iCs/>
                <w:sz w:val="16"/>
                <w:szCs w:val="16"/>
              </w:rPr>
              <w:t>AN23</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Goodwill and Marketing Assets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0"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 </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rPr>
                <w:rFonts w:ascii="Times New Roman" w:hAnsi="Times New Roman"/>
                <w:i/>
                <w:iCs/>
                <w:sz w:val="16"/>
                <w:szCs w:val="16"/>
              </w:rPr>
            </w:pPr>
            <w:r w:rsidRPr="0092611D">
              <w:rPr>
                <w:rFonts w:ascii="Times New Roman" w:hAnsi="Times New Roman"/>
                <w:i/>
                <w:iCs/>
                <w:sz w:val="16"/>
                <w:szCs w:val="16"/>
              </w:rPr>
              <w:t>AF</w:t>
            </w:r>
          </w:p>
        </w:tc>
        <w:tc>
          <w:tcPr>
            <w:tcW w:w="6532" w:type="dxa"/>
            <w:shd w:val="clear" w:color="auto" w:fill="FFFFFF"/>
            <w:noWrap/>
            <w:vAlign w:val="bottom"/>
            <w:hideMark/>
          </w:tcPr>
          <w:p w:rsidR="004D7285" w:rsidRPr="0092611D" w:rsidRDefault="004D7285" w:rsidP="00333F00">
            <w:pPr>
              <w:spacing w:after="0" w:line="240" w:lineRule="auto"/>
              <w:contextualSpacing/>
              <w:rPr>
                <w:rFonts w:ascii="Times New Roman" w:hAnsi="Times New Roman"/>
                <w:sz w:val="16"/>
                <w:szCs w:val="16"/>
              </w:rPr>
            </w:pPr>
            <w:r w:rsidRPr="0092611D">
              <w:rPr>
                <w:rFonts w:ascii="Times New Roman" w:hAnsi="Times New Roman"/>
                <w:sz w:val="16"/>
                <w:szCs w:val="16"/>
              </w:rPr>
              <w:t>Financial assets/liabilities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1075</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3 651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387</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3465</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176</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8 754</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859</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9 613</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AF1</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 xml:space="preserve">Monetary Gold and </w:t>
            </w:r>
            <w:r w:rsidRPr="0092611D">
              <w:rPr>
                <w:rFonts w:ascii="Times New Roman" w:hAnsi="Times New Roman"/>
                <w:sz w:val="16"/>
                <w:szCs w:val="16"/>
                <w:lang w:val="kk-KZ"/>
              </w:rPr>
              <w:t xml:space="preserve">Special </w:t>
            </w:r>
            <w:r w:rsidRPr="0092611D">
              <w:rPr>
                <w:rFonts w:ascii="Times New Roman" w:hAnsi="Times New Roman"/>
                <w:sz w:val="16"/>
                <w:szCs w:val="16"/>
              </w:rPr>
              <w:t xml:space="preserve">Drawing </w:t>
            </w:r>
            <w:r w:rsidRPr="0092611D">
              <w:rPr>
                <w:rFonts w:ascii="Times New Roman" w:hAnsi="Times New Roman"/>
                <w:sz w:val="16"/>
                <w:szCs w:val="16"/>
                <w:lang w:val="kk-KZ"/>
              </w:rPr>
              <w:t>Rights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700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81</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781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782</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AF2</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Cash currency and deposits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421</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124</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904</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112</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1 571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116</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1 687</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AF3</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Debt securities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100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1046</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214</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25</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1 389</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138</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1 527</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AF4</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Loans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69</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1 240</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118</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27</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1462</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74</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1536</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AF5</w:t>
            </w:r>
          </w:p>
        </w:tc>
        <w:tc>
          <w:tcPr>
            <w:tcW w:w="6532"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Share capital and shares of investment funds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297</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595</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15</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1 825</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23</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2755</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360</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3 115</w:t>
            </w:r>
          </w:p>
        </w:tc>
      </w:tr>
      <w:tr w:rsidR="004D7285" w:rsidRPr="0092611D" w:rsidTr="00333F00">
        <w:trPr>
          <w:trHeight w:val="258"/>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AF6</w:t>
            </w:r>
          </w:p>
        </w:tc>
        <w:tc>
          <w:tcPr>
            <w:tcW w:w="6532"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Insurance, Pension and Standardized Guarantee Programs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26</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38</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21</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430</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519</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26</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545</w:t>
            </w:r>
          </w:p>
        </w:tc>
      </w:tr>
      <w:tr w:rsidR="004D7285" w:rsidRPr="0092611D" w:rsidTr="00333F00">
        <w:trPr>
          <w:trHeight w:val="405"/>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t>AF7</w:t>
            </w:r>
          </w:p>
        </w:tc>
        <w:tc>
          <w:tcPr>
            <w:tcW w:w="6532"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Derivative financial instruments and employee share options</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8</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6</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35</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0</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35</w:t>
            </w:r>
          </w:p>
        </w:tc>
      </w:tr>
      <w:tr w:rsidR="004D7285" w:rsidRPr="0092611D" w:rsidTr="00333F00">
        <w:trPr>
          <w:trHeight w:val="246"/>
        </w:trPr>
        <w:tc>
          <w:tcPr>
            <w:tcW w:w="1037" w:type="dxa"/>
            <w:shd w:val="clear" w:color="auto" w:fill="FFFFFF"/>
            <w:vAlign w:val="bottom"/>
            <w:hideMark/>
          </w:tcPr>
          <w:p w:rsidR="004D7285" w:rsidRPr="0092611D" w:rsidRDefault="004D7285" w:rsidP="00333F00">
            <w:pPr>
              <w:spacing w:after="0" w:line="240" w:lineRule="auto"/>
              <w:ind w:firstLineChars="200" w:firstLine="320"/>
              <w:contextualSpacing/>
              <w:outlineLvl w:val="0"/>
              <w:rPr>
                <w:rFonts w:ascii="Times New Roman" w:hAnsi="Times New Roman"/>
                <w:i/>
                <w:iCs/>
                <w:sz w:val="16"/>
                <w:szCs w:val="16"/>
              </w:rPr>
            </w:pPr>
            <w:r w:rsidRPr="0092611D">
              <w:rPr>
                <w:rFonts w:ascii="Times New Roman" w:hAnsi="Times New Roman"/>
                <w:i/>
                <w:iCs/>
                <w:sz w:val="16"/>
                <w:szCs w:val="16"/>
              </w:rPr>
              <w:lastRenderedPageBreak/>
              <w:t>AF8</w:t>
            </w:r>
          </w:p>
        </w:tc>
        <w:tc>
          <w:tcPr>
            <w:tcW w:w="6532"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Other accounts receivable/payable</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154</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24</w:t>
            </w:r>
          </w:p>
        </w:tc>
        <w:tc>
          <w:tcPr>
            <w:tcW w:w="89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59</w:t>
            </w:r>
          </w:p>
        </w:tc>
        <w:tc>
          <w:tcPr>
            <w:tcW w:w="106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4</w:t>
            </w:r>
          </w:p>
        </w:tc>
        <w:tc>
          <w:tcPr>
            <w:tcW w:w="721"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242</w:t>
            </w:r>
          </w:p>
        </w:tc>
        <w:tc>
          <w:tcPr>
            <w:tcW w:w="89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144</w:t>
            </w:r>
          </w:p>
        </w:tc>
        <w:tc>
          <w:tcPr>
            <w:tcW w:w="940" w:type="dxa"/>
            <w:shd w:val="clear" w:color="auto" w:fill="FFFFFF"/>
            <w:noWrap/>
            <w:vAlign w:val="bottom"/>
            <w:hideMark/>
          </w:tcPr>
          <w:p w:rsidR="004D7285" w:rsidRPr="0092611D" w:rsidRDefault="004D7285" w:rsidP="00333F00">
            <w:pPr>
              <w:spacing w:after="0" w:line="240" w:lineRule="auto"/>
              <w:contextualSpacing/>
              <w:jc w:val="right"/>
              <w:rPr>
                <w:rFonts w:ascii="Times New Roman" w:hAnsi="Times New Roman"/>
                <w:sz w:val="16"/>
                <w:szCs w:val="16"/>
              </w:rPr>
            </w:pPr>
            <w:r w:rsidRPr="0092611D">
              <w:rPr>
                <w:rFonts w:ascii="Times New Roman" w:hAnsi="Times New Roman"/>
                <w:sz w:val="16"/>
                <w:szCs w:val="16"/>
              </w:rPr>
              <w:t>386</w:t>
            </w:r>
          </w:p>
        </w:tc>
      </w:tr>
    </w:tbl>
    <w:p w:rsidR="004D7285" w:rsidRPr="0092611D" w:rsidRDefault="004D7285" w:rsidP="004D7285">
      <w:pPr>
        <w:spacing w:after="0" w:line="240" w:lineRule="auto"/>
        <w:ind w:right="391"/>
        <w:jc w:val="right"/>
        <w:rPr>
          <w:sz w:val="20"/>
          <w:szCs w:val="28"/>
        </w:rPr>
      </w:pPr>
      <w:r w:rsidRPr="0092611D">
        <w:rPr>
          <w:rFonts w:ascii="Times New Roman" w:hAnsi="Times New Roman"/>
          <w:b/>
          <w:bCs/>
          <w:sz w:val="20"/>
        </w:rPr>
        <w:br w:type="page"/>
      </w:r>
      <w:r w:rsidRPr="0092611D">
        <w:rPr>
          <w:rFonts w:ascii="Times New Roman" w:hAnsi="Times New Roman"/>
          <w:b/>
          <w:bCs/>
          <w:sz w:val="20"/>
        </w:rPr>
        <w:lastRenderedPageBreak/>
        <w:t>Stocks of liabilities and changes in them</w:t>
      </w:r>
    </w:p>
    <w:tbl>
      <w:tblPr>
        <w:tblW w:w="147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50"/>
        <w:gridCol w:w="6554"/>
        <w:gridCol w:w="893"/>
        <w:gridCol w:w="894"/>
        <w:gridCol w:w="893"/>
        <w:gridCol w:w="894"/>
        <w:gridCol w:w="1022"/>
        <w:gridCol w:w="765"/>
        <w:gridCol w:w="893"/>
        <w:gridCol w:w="900"/>
      </w:tblGrid>
      <w:tr w:rsidR="004D7285" w:rsidRPr="0092611D" w:rsidTr="00333F00">
        <w:trPr>
          <w:trHeight w:val="325"/>
        </w:trPr>
        <w:tc>
          <w:tcPr>
            <w:tcW w:w="1050" w:type="dxa"/>
            <w:vMerge w:val="restart"/>
            <w:shd w:val="clear" w:color="auto" w:fill="FFFFFF"/>
            <w:noWrap/>
            <w:vAlign w:val="center"/>
            <w:hideMark/>
          </w:tcPr>
          <w:p w:rsidR="004D7285" w:rsidRPr="0092611D" w:rsidRDefault="004D7285" w:rsidP="00333F00">
            <w:pPr>
              <w:spacing w:after="0" w:line="240" w:lineRule="auto"/>
              <w:jc w:val="center"/>
              <w:rPr>
                <w:rFonts w:ascii="Times New Roman" w:hAnsi="Times New Roman"/>
                <w:b/>
                <w:sz w:val="16"/>
                <w:szCs w:val="16"/>
              </w:rPr>
            </w:pPr>
          </w:p>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Code</w:t>
            </w:r>
          </w:p>
        </w:tc>
        <w:tc>
          <w:tcPr>
            <w:tcW w:w="6554" w:type="dxa"/>
            <w:vMerge w:val="restart"/>
            <w:shd w:val="clear" w:color="auto" w:fill="FFFFFF"/>
            <w:vAlign w:val="center"/>
            <w:hideMark/>
          </w:tcPr>
          <w:p w:rsidR="004D7285" w:rsidRPr="0092611D" w:rsidRDefault="004D7285" w:rsidP="00333F00">
            <w:pPr>
              <w:spacing w:after="0" w:line="240" w:lineRule="auto"/>
              <w:jc w:val="center"/>
              <w:rPr>
                <w:rFonts w:ascii="Times New Roman" w:hAnsi="Times New Roman"/>
                <w:b/>
                <w:sz w:val="16"/>
                <w:szCs w:val="16"/>
              </w:rPr>
            </w:pPr>
          </w:p>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 xml:space="preserve">Stocks of liabilities and changes in liabilities </w:t>
            </w:r>
            <w:r w:rsidRPr="0092611D">
              <w:rPr>
                <w:rFonts w:ascii="Times New Roman" w:hAnsi="Times New Roman"/>
                <w:b/>
                <w:sz w:val="16"/>
                <w:szCs w:val="16"/>
              </w:rPr>
              <w:br/>
              <w:t>and net worth</w:t>
            </w:r>
          </w:p>
        </w:tc>
        <w:tc>
          <w:tcPr>
            <w:tcW w:w="893" w:type="dxa"/>
            <w:shd w:val="clear" w:color="auto" w:fill="FFFFFF"/>
            <w:noWrap/>
            <w:vAlign w:val="center"/>
            <w:hideMark/>
          </w:tcPr>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S11</w:t>
            </w:r>
          </w:p>
        </w:tc>
        <w:tc>
          <w:tcPr>
            <w:tcW w:w="894" w:type="dxa"/>
            <w:shd w:val="clear" w:color="auto" w:fill="FFFFFF"/>
            <w:noWrap/>
            <w:vAlign w:val="center"/>
            <w:hideMark/>
          </w:tcPr>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S12</w:t>
            </w:r>
          </w:p>
        </w:tc>
        <w:tc>
          <w:tcPr>
            <w:tcW w:w="893" w:type="dxa"/>
            <w:shd w:val="clear" w:color="auto" w:fill="FFFFFF"/>
            <w:noWrap/>
            <w:vAlign w:val="center"/>
            <w:hideMark/>
          </w:tcPr>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S13</w:t>
            </w:r>
          </w:p>
        </w:tc>
        <w:tc>
          <w:tcPr>
            <w:tcW w:w="894" w:type="dxa"/>
            <w:shd w:val="clear" w:color="auto" w:fill="FFFFFF"/>
            <w:noWrap/>
            <w:vAlign w:val="center"/>
            <w:hideMark/>
          </w:tcPr>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S14</w:t>
            </w:r>
          </w:p>
        </w:tc>
        <w:tc>
          <w:tcPr>
            <w:tcW w:w="1022" w:type="dxa"/>
            <w:shd w:val="clear" w:color="auto" w:fill="FFFFFF"/>
            <w:noWrap/>
            <w:vAlign w:val="center"/>
            <w:hideMark/>
          </w:tcPr>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S15</w:t>
            </w:r>
          </w:p>
        </w:tc>
        <w:tc>
          <w:tcPr>
            <w:tcW w:w="765" w:type="dxa"/>
            <w:shd w:val="clear" w:color="auto" w:fill="FFFFFF"/>
            <w:noWrap/>
            <w:vAlign w:val="center"/>
            <w:hideMark/>
          </w:tcPr>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S1</w:t>
            </w:r>
          </w:p>
        </w:tc>
        <w:tc>
          <w:tcPr>
            <w:tcW w:w="893" w:type="dxa"/>
            <w:shd w:val="clear" w:color="auto" w:fill="FFFFFF"/>
            <w:noWrap/>
            <w:vAlign w:val="center"/>
            <w:hideMark/>
          </w:tcPr>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S2</w:t>
            </w:r>
          </w:p>
        </w:tc>
        <w:tc>
          <w:tcPr>
            <w:tcW w:w="900" w:type="dxa"/>
            <w:shd w:val="clear" w:color="auto" w:fill="FFFFFF"/>
            <w:noWrap/>
            <w:vAlign w:val="center"/>
            <w:hideMark/>
          </w:tcPr>
          <w:p w:rsidR="004D7285" w:rsidRPr="0092611D" w:rsidRDefault="004D7285" w:rsidP="00333F00">
            <w:pPr>
              <w:spacing w:after="0" w:line="240" w:lineRule="auto"/>
              <w:jc w:val="center"/>
              <w:rPr>
                <w:rFonts w:ascii="Times New Roman" w:hAnsi="Times New Roman"/>
                <w:b/>
                <w:sz w:val="16"/>
                <w:szCs w:val="16"/>
              </w:rPr>
            </w:pPr>
          </w:p>
        </w:tc>
      </w:tr>
      <w:tr w:rsidR="004D7285" w:rsidRPr="0092611D" w:rsidTr="00333F00">
        <w:trPr>
          <w:trHeight w:val="1455"/>
        </w:trPr>
        <w:tc>
          <w:tcPr>
            <w:tcW w:w="1050" w:type="dxa"/>
            <w:vMerge/>
            <w:shd w:val="clear" w:color="auto" w:fill="FFFFFF"/>
            <w:vAlign w:val="center"/>
            <w:hideMark/>
          </w:tcPr>
          <w:p w:rsidR="004D7285" w:rsidRPr="0092611D" w:rsidRDefault="004D7285" w:rsidP="00333F00">
            <w:pPr>
              <w:spacing w:after="0" w:line="240" w:lineRule="auto"/>
              <w:jc w:val="center"/>
              <w:rPr>
                <w:rFonts w:ascii="Times New Roman" w:hAnsi="Times New Roman"/>
                <w:b/>
                <w:sz w:val="16"/>
                <w:szCs w:val="16"/>
              </w:rPr>
            </w:pPr>
          </w:p>
        </w:tc>
        <w:tc>
          <w:tcPr>
            <w:tcW w:w="6554" w:type="dxa"/>
            <w:vMerge/>
            <w:shd w:val="clear" w:color="auto" w:fill="FFFFFF"/>
            <w:vAlign w:val="center"/>
            <w:hideMark/>
          </w:tcPr>
          <w:p w:rsidR="004D7285" w:rsidRPr="0092611D" w:rsidRDefault="004D7285" w:rsidP="00333F00">
            <w:pPr>
              <w:spacing w:after="0" w:line="240" w:lineRule="auto"/>
              <w:jc w:val="center"/>
              <w:rPr>
                <w:rFonts w:ascii="Times New Roman" w:hAnsi="Times New Roman"/>
                <w:b/>
                <w:sz w:val="16"/>
                <w:szCs w:val="16"/>
              </w:rPr>
            </w:pPr>
          </w:p>
        </w:tc>
        <w:tc>
          <w:tcPr>
            <w:tcW w:w="893" w:type="dxa"/>
            <w:shd w:val="clear" w:color="auto" w:fill="FFFFFF"/>
            <w:textDirection w:val="btLr"/>
            <w:vAlign w:val="center"/>
            <w:hideMark/>
          </w:tcPr>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Non-financial corporations</w:t>
            </w:r>
          </w:p>
        </w:tc>
        <w:tc>
          <w:tcPr>
            <w:tcW w:w="894" w:type="dxa"/>
            <w:shd w:val="clear" w:color="auto" w:fill="FFFFFF"/>
            <w:textDirection w:val="btLr"/>
            <w:vAlign w:val="center"/>
            <w:hideMark/>
          </w:tcPr>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financial corporations</w:t>
            </w:r>
          </w:p>
        </w:tc>
        <w:tc>
          <w:tcPr>
            <w:tcW w:w="893" w:type="dxa"/>
            <w:shd w:val="clear" w:color="auto" w:fill="FFFFFF"/>
            <w:textDirection w:val="btLr"/>
            <w:vAlign w:val="center"/>
            <w:hideMark/>
          </w:tcPr>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States. control</w:t>
            </w:r>
          </w:p>
        </w:tc>
        <w:tc>
          <w:tcPr>
            <w:tcW w:w="894" w:type="dxa"/>
            <w:shd w:val="clear" w:color="auto" w:fill="FFFFFF"/>
            <w:textDirection w:val="btLr"/>
            <w:vAlign w:val="center"/>
            <w:hideMark/>
          </w:tcPr>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households</w:t>
            </w:r>
          </w:p>
        </w:tc>
        <w:tc>
          <w:tcPr>
            <w:tcW w:w="1022" w:type="dxa"/>
            <w:shd w:val="clear" w:color="auto" w:fill="FFFFFF"/>
            <w:textDirection w:val="btLr"/>
            <w:vAlign w:val="center"/>
            <w:hideMark/>
          </w:tcPr>
          <w:p w:rsidR="004D7285" w:rsidRPr="0092611D" w:rsidRDefault="004D7285" w:rsidP="00333F00">
            <w:pPr>
              <w:spacing w:after="0" w:line="240" w:lineRule="auto"/>
              <w:contextualSpacing/>
              <w:jc w:val="center"/>
              <w:rPr>
                <w:rFonts w:ascii="Times New Roman" w:hAnsi="Times New Roman"/>
                <w:b/>
                <w:sz w:val="16"/>
                <w:szCs w:val="16"/>
              </w:rPr>
            </w:pPr>
            <w:r w:rsidRPr="0092611D">
              <w:rPr>
                <w:rFonts w:ascii="Times New Roman" w:hAnsi="Times New Roman"/>
                <w:b/>
                <w:sz w:val="16"/>
                <w:szCs w:val="16"/>
              </w:rPr>
              <w:t>Non-Profit Organizations Serving Households</w:t>
            </w:r>
          </w:p>
        </w:tc>
        <w:tc>
          <w:tcPr>
            <w:tcW w:w="765" w:type="dxa"/>
            <w:shd w:val="clear" w:color="auto" w:fill="FFFFFF"/>
            <w:textDirection w:val="btLr"/>
            <w:vAlign w:val="center"/>
            <w:hideMark/>
          </w:tcPr>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Economy as a whole</w:t>
            </w:r>
          </w:p>
        </w:tc>
        <w:tc>
          <w:tcPr>
            <w:tcW w:w="893" w:type="dxa"/>
            <w:shd w:val="clear" w:color="auto" w:fill="FFFFFF"/>
            <w:textDirection w:val="btLr"/>
            <w:vAlign w:val="center"/>
            <w:hideMark/>
          </w:tcPr>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The rest of the world</w:t>
            </w:r>
          </w:p>
        </w:tc>
        <w:tc>
          <w:tcPr>
            <w:tcW w:w="900" w:type="dxa"/>
            <w:shd w:val="clear" w:color="auto" w:fill="FFFFFF"/>
            <w:textDirection w:val="btLr"/>
            <w:vAlign w:val="center"/>
            <w:hideMark/>
          </w:tcPr>
          <w:p w:rsidR="004D7285" w:rsidRPr="0092611D" w:rsidRDefault="004D7285" w:rsidP="00333F00">
            <w:pPr>
              <w:spacing w:after="0" w:line="240" w:lineRule="auto"/>
              <w:jc w:val="center"/>
              <w:rPr>
                <w:rFonts w:ascii="Times New Roman" w:hAnsi="Times New Roman"/>
                <w:b/>
                <w:sz w:val="16"/>
                <w:szCs w:val="16"/>
              </w:rPr>
            </w:pPr>
            <w:r w:rsidRPr="0092611D">
              <w:rPr>
                <w:rFonts w:ascii="Times New Roman" w:hAnsi="Times New Roman"/>
                <w:b/>
                <w:sz w:val="16"/>
                <w:szCs w:val="16"/>
              </w:rPr>
              <w:t>Total</w:t>
            </w:r>
          </w:p>
        </w:tc>
      </w:tr>
      <w:tr w:rsidR="004D7285" w:rsidRPr="0092611D" w:rsidTr="00333F00">
        <w:trPr>
          <w:trHeight w:val="282"/>
        </w:trPr>
        <w:tc>
          <w:tcPr>
            <w:tcW w:w="14758" w:type="dxa"/>
            <w:gridSpan w:val="10"/>
            <w:shd w:val="clear" w:color="auto" w:fill="FFFFFF"/>
            <w:vAlign w:val="bottom"/>
            <w:hideMark/>
          </w:tcPr>
          <w:p w:rsidR="004D7285" w:rsidRPr="0092611D" w:rsidRDefault="004D7285" w:rsidP="00333F00">
            <w:pPr>
              <w:spacing w:after="0" w:line="240" w:lineRule="auto"/>
              <w:rPr>
                <w:rFonts w:ascii="Times New Roman" w:hAnsi="Times New Roman"/>
                <w:sz w:val="16"/>
                <w:szCs w:val="16"/>
              </w:rPr>
            </w:pPr>
            <w:r w:rsidRPr="0092611D">
              <w:rPr>
                <w:rFonts w:ascii="Times New Roman" w:hAnsi="Times New Roman"/>
                <w:b/>
                <w:bCs/>
                <w:sz w:val="16"/>
                <w:szCs w:val="16"/>
              </w:rPr>
              <w:t>Opening balance of assets and liabilities</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rPr>
                <w:rFonts w:ascii="Times New Roman" w:hAnsi="Times New Roman"/>
                <w:i/>
                <w:iCs/>
                <w:sz w:val="16"/>
                <w:szCs w:val="16"/>
              </w:rPr>
            </w:pPr>
            <w:r w:rsidRPr="0092611D">
              <w:rPr>
                <w:rFonts w:ascii="Times New Roman" w:hAnsi="Times New Roman"/>
                <w:i/>
                <w:iCs/>
                <w:sz w:val="16"/>
                <w:szCs w:val="16"/>
              </w:rPr>
              <w:t>AF</w:t>
            </w:r>
          </w:p>
        </w:tc>
        <w:tc>
          <w:tcPr>
            <w:tcW w:w="6554"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r w:rsidRPr="0092611D">
              <w:rPr>
                <w:rFonts w:ascii="Times New Roman" w:hAnsi="Times New Roman"/>
                <w:sz w:val="16"/>
                <w:szCs w:val="16"/>
              </w:rPr>
              <w:t>Financial assets/liabilities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3 221</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3544</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687</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189</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121</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7 762</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1 274</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9036</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AF1</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Monetary Gold and Special Drawing Rights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770</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770</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AF2</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Cash currency and deposits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40</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1 281</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102</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38</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1471</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116</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1 587</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AF3</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Debt securities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44</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1053</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212</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w:t>
            </w:r>
          </w:p>
        </w:tc>
        <w:tc>
          <w:tcPr>
            <w:tcW w:w="1022"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1311</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77</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1 388</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AF4</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Loans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897</w:t>
            </w:r>
          </w:p>
        </w:tc>
        <w:tc>
          <w:tcPr>
            <w:tcW w:w="894"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328</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169</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43</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1437</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17</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1454</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AF5</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Share capital and shares of investment funds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1987</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765</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w:t>
            </w:r>
          </w:p>
        </w:tc>
        <w:tc>
          <w:tcPr>
            <w:tcW w:w="894"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p>
        </w:tc>
        <w:tc>
          <w:tcPr>
            <w:tcW w:w="1022"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2756</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203</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2959</w:t>
            </w:r>
          </w:p>
        </w:tc>
      </w:tr>
      <w:tr w:rsidR="004D7285" w:rsidRPr="0092611D" w:rsidTr="00333F00">
        <w:trPr>
          <w:trHeight w:val="237"/>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AF6</w:t>
            </w:r>
          </w:p>
        </w:tc>
        <w:tc>
          <w:tcPr>
            <w:tcW w:w="6554"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Insurance, Pension and Standardized Guarantee Programs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12</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435</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19</w:t>
            </w:r>
          </w:p>
        </w:tc>
        <w:tc>
          <w:tcPr>
            <w:tcW w:w="894"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5</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471</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25</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496</w:t>
            </w:r>
          </w:p>
        </w:tc>
      </w:tr>
      <w:tr w:rsidR="004D7285" w:rsidRPr="0092611D" w:rsidTr="00333F00">
        <w:trPr>
          <w:trHeight w:val="401"/>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AF7</w:t>
            </w:r>
          </w:p>
        </w:tc>
        <w:tc>
          <w:tcPr>
            <w:tcW w:w="6554"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Derivative financial instruments and employee share options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p>
        </w:tc>
        <w:tc>
          <w:tcPr>
            <w:tcW w:w="894"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14</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7</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21</w:t>
            </w:r>
          </w:p>
        </w:tc>
      </w:tr>
      <w:tr w:rsidR="004D7285" w:rsidRPr="0092611D" w:rsidTr="00333F00">
        <w:trPr>
          <w:trHeight w:val="331"/>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AF8</w:t>
            </w:r>
          </w:p>
        </w:tc>
        <w:tc>
          <w:tcPr>
            <w:tcW w:w="6554"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Other accounts receivable/payable</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237</w:t>
            </w:r>
          </w:p>
        </w:tc>
        <w:tc>
          <w:tcPr>
            <w:tcW w:w="894"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22</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8</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35</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302</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59</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361</w:t>
            </w:r>
          </w:p>
        </w:tc>
      </w:tr>
      <w:tr w:rsidR="004D7285" w:rsidRPr="0092611D" w:rsidTr="00333F00">
        <w:trPr>
          <w:trHeight w:val="289"/>
        </w:trPr>
        <w:tc>
          <w:tcPr>
            <w:tcW w:w="1050"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r w:rsidRPr="0092611D">
              <w:rPr>
                <w:rFonts w:ascii="Times New Roman" w:hAnsi="Times New Roman"/>
                <w:sz w:val="16"/>
                <w:szCs w:val="16"/>
              </w:rPr>
              <w:t>B90</w:t>
            </w:r>
          </w:p>
        </w:tc>
        <w:tc>
          <w:tcPr>
            <w:tcW w:w="6554" w:type="dxa"/>
            <w:shd w:val="clear" w:color="auto" w:fill="FFFFFF"/>
            <w:noWrap/>
            <w:vAlign w:val="bottom"/>
            <w:hideMark/>
          </w:tcPr>
          <w:p w:rsidR="004D7285" w:rsidRPr="0092611D" w:rsidRDefault="004D7285" w:rsidP="00333F00">
            <w:pPr>
              <w:spacing w:after="0" w:line="240" w:lineRule="auto"/>
              <w:rPr>
                <w:rFonts w:ascii="Times New Roman" w:hAnsi="Times New Roman"/>
                <w:i/>
                <w:iCs/>
                <w:sz w:val="16"/>
                <w:szCs w:val="16"/>
              </w:rPr>
            </w:pPr>
            <w:r w:rsidRPr="0092611D">
              <w:rPr>
                <w:rFonts w:ascii="Times New Roman" w:hAnsi="Times New Roman"/>
                <w:i/>
                <w:iCs/>
                <w:sz w:val="16"/>
                <w:szCs w:val="16"/>
              </w:rPr>
              <w:t>Net worth</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- 88</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xml:space="preserve">- </w:t>
            </w:r>
            <w:bookmarkStart w:id="8" w:name="_GoBack"/>
            <w:r w:rsidR="0089426D">
              <w:rPr>
                <w:rFonts w:ascii="Times New Roman" w:hAnsi="Times New Roman"/>
                <w:sz w:val="16"/>
                <w:szCs w:val="16"/>
              </w:rPr>
              <w:t>30</w:t>
            </w:r>
            <w:bookmarkEnd w:id="8"/>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498</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4 500</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210</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5090</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- 469</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4621</w:t>
            </w:r>
          </w:p>
        </w:tc>
      </w:tr>
      <w:tr w:rsidR="004D7285" w:rsidRPr="0092611D" w:rsidTr="00333F00">
        <w:trPr>
          <w:trHeight w:val="289"/>
        </w:trPr>
        <w:tc>
          <w:tcPr>
            <w:tcW w:w="14758" w:type="dxa"/>
            <w:gridSpan w:val="10"/>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r w:rsidRPr="0092611D">
              <w:rPr>
                <w:rFonts w:ascii="Times New Roman" w:hAnsi="Times New Roman"/>
                <w:b/>
                <w:bCs/>
                <w:sz w:val="16"/>
                <w:szCs w:val="16"/>
              </w:rPr>
              <w:t>Total change in liabilities and net worth</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rPr>
                <w:rFonts w:ascii="Times New Roman" w:hAnsi="Times New Roman"/>
                <w:i/>
                <w:iCs/>
                <w:sz w:val="16"/>
                <w:szCs w:val="16"/>
              </w:rPr>
            </w:pPr>
            <w:r w:rsidRPr="0092611D">
              <w:rPr>
                <w:rFonts w:ascii="Times New Roman" w:hAnsi="Times New Roman"/>
                <w:i/>
                <w:iCs/>
                <w:sz w:val="16"/>
                <w:szCs w:val="16"/>
              </w:rPr>
              <w:t>AF</w:t>
            </w:r>
          </w:p>
        </w:tc>
        <w:tc>
          <w:tcPr>
            <w:tcW w:w="6554"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r w:rsidRPr="0092611D">
              <w:rPr>
                <w:rFonts w:ascii="Times New Roman" w:hAnsi="Times New Roman"/>
                <w:sz w:val="16"/>
                <w:szCs w:val="16"/>
              </w:rPr>
              <w:t>Financial assets/liabilities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157</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224</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102</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16</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6</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505</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72</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577</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AF1</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Monetary Gold and Special Drawing Rights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12</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12</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AF2</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Cash currency and deposits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65</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37</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102</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- 2</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100</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AF3</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Debt securities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7</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64</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45</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116</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23</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139</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AF4</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Loans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21</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9</w:t>
            </w:r>
          </w:p>
        </w:tc>
        <w:tc>
          <w:tcPr>
            <w:tcW w:w="894" w:type="dxa"/>
            <w:shd w:val="clear" w:color="auto" w:fill="FFFFFF"/>
            <w:noWrap/>
            <w:vAlign w:val="bottom"/>
            <w:hideMark/>
          </w:tcPr>
          <w:p w:rsidR="004D7285" w:rsidRPr="0092611D" w:rsidRDefault="0089426D" w:rsidP="00333F00">
            <w:pPr>
              <w:spacing w:after="0" w:line="240" w:lineRule="auto"/>
              <w:jc w:val="right"/>
              <w:rPr>
                <w:rFonts w:ascii="Times New Roman" w:hAnsi="Times New Roman"/>
                <w:sz w:val="16"/>
                <w:szCs w:val="16"/>
              </w:rPr>
            </w:pPr>
            <w:r>
              <w:rPr>
                <w:rFonts w:ascii="Times New Roman" w:hAnsi="Times New Roman"/>
                <w:sz w:val="16"/>
                <w:szCs w:val="16"/>
              </w:rPr>
              <w:t>11</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6</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47</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35</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82</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AF5</w:t>
            </w:r>
          </w:p>
        </w:tc>
        <w:tc>
          <w:tcPr>
            <w:tcW w:w="6554"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Share capital and shares of investment funds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100</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39</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141</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15</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156</w:t>
            </w:r>
          </w:p>
        </w:tc>
      </w:tr>
      <w:tr w:rsidR="004D7285" w:rsidRPr="0092611D" w:rsidTr="00333F00">
        <w:trPr>
          <w:trHeight w:val="29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AF6</w:t>
            </w:r>
          </w:p>
        </w:tc>
        <w:tc>
          <w:tcPr>
            <w:tcW w:w="6554"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Insurance, Pension and Standardized Guarantee Programs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48</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49</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49</w:t>
            </w:r>
          </w:p>
        </w:tc>
      </w:tr>
      <w:tr w:rsidR="004D7285" w:rsidRPr="0092611D" w:rsidTr="00333F00">
        <w:trPr>
          <w:trHeight w:val="434"/>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AF7</w:t>
            </w:r>
          </w:p>
        </w:tc>
        <w:tc>
          <w:tcPr>
            <w:tcW w:w="6554"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Derivative financial instruments and employee share options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8</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765" w:type="dxa"/>
            <w:shd w:val="clear" w:color="auto" w:fill="FFFFFF"/>
            <w:noWrap/>
            <w:vAlign w:val="bottom"/>
            <w:hideMark/>
          </w:tcPr>
          <w:p w:rsidR="004D7285" w:rsidRPr="0092611D" w:rsidRDefault="0089426D" w:rsidP="00333F00">
            <w:pPr>
              <w:spacing w:after="0" w:line="240" w:lineRule="auto"/>
              <w:jc w:val="right"/>
              <w:rPr>
                <w:rFonts w:ascii="Times New Roman" w:hAnsi="Times New Roman"/>
                <w:sz w:val="16"/>
                <w:szCs w:val="16"/>
              </w:rPr>
            </w:pPr>
            <w:r>
              <w:rPr>
                <w:rFonts w:ascii="Times New Roman" w:hAnsi="Times New Roman"/>
                <w:sz w:val="16"/>
                <w:szCs w:val="16"/>
              </w:rPr>
              <w:t>11</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14</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AF8</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Other accounts receivable/payable</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26</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9</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39</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- 14</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25</w:t>
            </w:r>
          </w:p>
        </w:tc>
      </w:tr>
      <w:tr w:rsidR="004D7285" w:rsidRPr="0092611D" w:rsidTr="00333F00">
        <w:trPr>
          <w:trHeight w:val="289"/>
        </w:trPr>
        <w:tc>
          <w:tcPr>
            <w:tcW w:w="1050"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r w:rsidRPr="0092611D">
              <w:rPr>
                <w:rFonts w:ascii="Times New Roman" w:hAnsi="Times New Roman"/>
                <w:sz w:val="16"/>
                <w:szCs w:val="16"/>
              </w:rPr>
              <w:t>B10</w:t>
            </w:r>
          </w:p>
        </w:tc>
        <w:tc>
          <w:tcPr>
            <w:tcW w:w="6554" w:type="dxa"/>
            <w:shd w:val="clear" w:color="auto" w:fill="FFFFFF"/>
            <w:noWrap/>
            <w:vAlign w:val="bottom"/>
            <w:hideMark/>
          </w:tcPr>
          <w:p w:rsidR="004D7285" w:rsidRPr="0092611D" w:rsidRDefault="004D7285" w:rsidP="00333F00">
            <w:pPr>
              <w:spacing w:after="0" w:line="240" w:lineRule="auto"/>
              <w:rPr>
                <w:rFonts w:ascii="Times New Roman" w:hAnsi="Times New Roman"/>
                <w:i/>
                <w:iCs/>
                <w:sz w:val="16"/>
                <w:szCs w:val="16"/>
              </w:rPr>
            </w:pPr>
            <w:r w:rsidRPr="0092611D">
              <w:rPr>
                <w:rFonts w:ascii="Times New Roman" w:hAnsi="Times New Roman"/>
                <w:i/>
                <w:iCs/>
                <w:sz w:val="16"/>
                <w:szCs w:val="16"/>
              </w:rPr>
              <w:t>Total change in net worth</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236</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- 54</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305</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9</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500</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- 18</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482</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rPr>
                <w:rFonts w:ascii="Times New Roman" w:hAnsi="Times New Roman"/>
                <w:i/>
                <w:iCs/>
                <w:sz w:val="16"/>
                <w:szCs w:val="16"/>
              </w:rPr>
            </w:pPr>
            <w:r w:rsidRPr="0092611D">
              <w:rPr>
                <w:rFonts w:ascii="Times New Roman" w:hAnsi="Times New Roman"/>
                <w:i/>
                <w:iCs/>
                <w:sz w:val="16"/>
                <w:szCs w:val="16"/>
              </w:rPr>
              <w:t>B101</w:t>
            </w:r>
          </w:p>
        </w:tc>
        <w:tc>
          <w:tcPr>
            <w:tcW w:w="6554" w:type="dxa"/>
            <w:shd w:val="clear" w:color="auto" w:fill="FFFFFF"/>
            <w:noWrap/>
            <w:vAlign w:val="bottom"/>
            <w:hideMark/>
          </w:tcPr>
          <w:p w:rsidR="004D7285" w:rsidRPr="0092611D" w:rsidRDefault="004D7285" w:rsidP="00333F00">
            <w:pPr>
              <w:spacing w:after="0" w:line="240" w:lineRule="auto"/>
              <w:rPr>
                <w:rFonts w:ascii="Times New Roman" w:hAnsi="Times New Roman"/>
                <w:i/>
                <w:iCs/>
                <w:sz w:val="16"/>
                <w:szCs w:val="16"/>
              </w:rPr>
            </w:pPr>
            <w:r w:rsidRPr="0092611D">
              <w:rPr>
                <w:rFonts w:ascii="Times New Roman" w:hAnsi="Times New Roman"/>
                <w:i/>
                <w:iCs/>
                <w:sz w:val="16"/>
                <w:szCs w:val="16"/>
              </w:rPr>
              <w:t>Savings and capital transfers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88</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- 5</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- 90</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210</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- 1</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202</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- 10</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192</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rPr>
                <w:rFonts w:ascii="Times New Roman" w:hAnsi="Times New Roman"/>
                <w:i/>
                <w:iCs/>
                <w:sz w:val="16"/>
                <w:szCs w:val="16"/>
              </w:rPr>
            </w:pPr>
            <w:r w:rsidRPr="0092611D">
              <w:rPr>
                <w:rFonts w:ascii="Times New Roman" w:hAnsi="Times New Roman"/>
                <w:i/>
                <w:iCs/>
                <w:sz w:val="16"/>
                <w:szCs w:val="16"/>
              </w:rPr>
              <w:t>B102</w:t>
            </w:r>
          </w:p>
        </w:tc>
        <w:tc>
          <w:tcPr>
            <w:tcW w:w="6554" w:type="dxa"/>
            <w:shd w:val="clear" w:color="auto" w:fill="FFFFFF"/>
            <w:noWrap/>
            <w:vAlign w:val="bottom"/>
            <w:hideMark/>
          </w:tcPr>
          <w:p w:rsidR="004D7285" w:rsidRPr="0092611D" w:rsidRDefault="004D7285" w:rsidP="00333F00">
            <w:pPr>
              <w:spacing w:after="0" w:line="240" w:lineRule="auto"/>
              <w:rPr>
                <w:rFonts w:ascii="Times New Roman" w:hAnsi="Times New Roman"/>
                <w:i/>
                <w:iCs/>
                <w:sz w:val="16"/>
                <w:szCs w:val="16"/>
              </w:rPr>
            </w:pPr>
            <w:r w:rsidRPr="0092611D">
              <w:rPr>
                <w:rFonts w:ascii="Times New Roman" w:hAnsi="Times New Roman"/>
                <w:i/>
                <w:iCs/>
                <w:sz w:val="16"/>
                <w:szCs w:val="16"/>
              </w:rPr>
              <w:t>Other changes in the volume of assets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14</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- 1</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- 2</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- 1</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rPr>
                <w:rFonts w:ascii="Times New Roman" w:hAnsi="Times New Roman"/>
                <w:i/>
                <w:iCs/>
                <w:sz w:val="16"/>
                <w:szCs w:val="16"/>
              </w:rPr>
            </w:pPr>
            <w:r w:rsidRPr="0092611D">
              <w:rPr>
                <w:rFonts w:ascii="Times New Roman" w:hAnsi="Times New Roman"/>
                <w:i/>
                <w:iCs/>
                <w:sz w:val="16"/>
                <w:szCs w:val="16"/>
              </w:rPr>
              <w:t>B103</w:t>
            </w:r>
          </w:p>
        </w:tc>
        <w:tc>
          <w:tcPr>
            <w:tcW w:w="6554" w:type="dxa"/>
            <w:shd w:val="clear" w:color="auto" w:fill="FFFFFF"/>
            <w:noWrap/>
            <w:vAlign w:val="bottom"/>
            <w:hideMark/>
          </w:tcPr>
          <w:p w:rsidR="004D7285" w:rsidRPr="0092611D" w:rsidRDefault="004D7285" w:rsidP="00333F00">
            <w:pPr>
              <w:spacing w:after="0" w:line="240" w:lineRule="auto"/>
              <w:rPr>
                <w:rFonts w:ascii="Times New Roman" w:hAnsi="Times New Roman"/>
                <w:i/>
                <w:iCs/>
                <w:sz w:val="16"/>
                <w:szCs w:val="16"/>
              </w:rPr>
            </w:pPr>
            <w:r w:rsidRPr="0092611D">
              <w:rPr>
                <w:rFonts w:ascii="Times New Roman" w:hAnsi="Times New Roman"/>
                <w:i/>
                <w:iCs/>
                <w:sz w:val="16"/>
                <w:szCs w:val="16"/>
              </w:rPr>
              <w:t>Nominal holding gains/losses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134</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38</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96</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288</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- 8</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280</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rPr>
                <w:rFonts w:ascii="Times New Roman" w:hAnsi="Times New Roman"/>
                <w:sz w:val="16"/>
                <w:szCs w:val="16"/>
              </w:rPr>
            </w:pPr>
            <w:r w:rsidRPr="0092611D">
              <w:rPr>
                <w:rFonts w:ascii="Times New Roman" w:hAnsi="Times New Roman"/>
                <w:sz w:val="16"/>
                <w:szCs w:val="16"/>
              </w:rPr>
              <w:lastRenderedPageBreak/>
              <w:t>B1031</w:t>
            </w:r>
          </w:p>
        </w:tc>
        <w:tc>
          <w:tcPr>
            <w:tcW w:w="6554"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r w:rsidRPr="0092611D">
              <w:rPr>
                <w:rFonts w:ascii="Times New Roman" w:hAnsi="Times New Roman"/>
                <w:sz w:val="16"/>
                <w:szCs w:val="16"/>
              </w:rPr>
              <w:t>Neutral holding gains/losses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82</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6</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27</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87</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6</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208</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- 10</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198</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rPr>
                <w:rFonts w:ascii="Times New Roman" w:hAnsi="Times New Roman"/>
                <w:sz w:val="16"/>
                <w:szCs w:val="16"/>
              </w:rPr>
            </w:pPr>
            <w:r w:rsidRPr="0092611D">
              <w:rPr>
                <w:rFonts w:ascii="Times New Roman" w:hAnsi="Times New Roman"/>
                <w:sz w:val="16"/>
                <w:szCs w:val="16"/>
              </w:rPr>
              <w:t>B1032</w:t>
            </w:r>
          </w:p>
        </w:tc>
        <w:tc>
          <w:tcPr>
            <w:tcW w:w="6554"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r w:rsidRPr="0092611D">
              <w:rPr>
                <w:rFonts w:ascii="Times New Roman" w:hAnsi="Times New Roman"/>
                <w:sz w:val="16"/>
                <w:szCs w:val="16"/>
              </w:rPr>
              <w:t>Real holding gains/losses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52</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w:t>
            </w:r>
          </w:p>
        </w:tc>
        <w:tc>
          <w:tcPr>
            <w:tcW w:w="893" w:type="dxa"/>
            <w:shd w:val="clear" w:color="auto" w:fill="FFFFFF"/>
            <w:noWrap/>
            <w:vAlign w:val="bottom"/>
            <w:hideMark/>
          </w:tcPr>
          <w:p w:rsidR="004D7285" w:rsidRPr="0092611D" w:rsidRDefault="0089426D" w:rsidP="00333F00">
            <w:pPr>
              <w:spacing w:after="0" w:line="240" w:lineRule="auto"/>
              <w:jc w:val="right"/>
              <w:rPr>
                <w:rFonts w:ascii="Times New Roman" w:hAnsi="Times New Roman"/>
                <w:sz w:val="16"/>
                <w:szCs w:val="16"/>
              </w:rPr>
            </w:pPr>
            <w:r>
              <w:rPr>
                <w:rFonts w:ascii="Times New Roman" w:hAnsi="Times New Roman"/>
                <w:sz w:val="16"/>
                <w:szCs w:val="16"/>
              </w:rPr>
              <w:t>11</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9</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80</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82</w:t>
            </w:r>
          </w:p>
        </w:tc>
      </w:tr>
      <w:tr w:rsidR="004D7285" w:rsidRPr="0092611D" w:rsidTr="00333F00">
        <w:trPr>
          <w:trHeight w:val="289"/>
        </w:trPr>
        <w:tc>
          <w:tcPr>
            <w:tcW w:w="14758" w:type="dxa"/>
            <w:gridSpan w:val="10"/>
            <w:shd w:val="clear" w:color="auto" w:fill="FFFFFF"/>
            <w:vAlign w:val="bottom"/>
            <w:hideMark/>
          </w:tcPr>
          <w:p w:rsidR="004D7285" w:rsidRPr="0092611D" w:rsidRDefault="004D7285" w:rsidP="00333F00">
            <w:pPr>
              <w:spacing w:after="0" w:line="240" w:lineRule="auto"/>
              <w:rPr>
                <w:rFonts w:ascii="Times New Roman" w:hAnsi="Times New Roman"/>
                <w:sz w:val="16"/>
                <w:szCs w:val="16"/>
              </w:rPr>
            </w:pPr>
            <w:r w:rsidRPr="0092611D">
              <w:rPr>
                <w:rFonts w:ascii="Times New Roman" w:hAnsi="Times New Roman"/>
                <w:b/>
                <w:bCs/>
                <w:sz w:val="16"/>
                <w:szCs w:val="16"/>
              </w:rPr>
              <w:t>Closing balance sheet of assets and liabilities</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rPr>
                <w:rFonts w:ascii="Times New Roman" w:hAnsi="Times New Roman"/>
                <w:i/>
                <w:iCs/>
                <w:sz w:val="16"/>
                <w:szCs w:val="16"/>
              </w:rPr>
            </w:pPr>
            <w:r w:rsidRPr="0092611D">
              <w:rPr>
                <w:rFonts w:ascii="Times New Roman" w:hAnsi="Times New Roman"/>
                <w:i/>
                <w:iCs/>
                <w:sz w:val="16"/>
                <w:szCs w:val="16"/>
              </w:rPr>
              <w:t>AF</w:t>
            </w:r>
          </w:p>
        </w:tc>
        <w:tc>
          <w:tcPr>
            <w:tcW w:w="6554"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r w:rsidRPr="0092611D">
              <w:rPr>
                <w:rFonts w:ascii="Times New Roman" w:hAnsi="Times New Roman"/>
                <w:sz w:val="16"/>
                <w:szCs w:val="16"/>
              </w:rPr>
              <w:t>Financial assets/liabilities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3 378</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3 768</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789</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205</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127</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8 267</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1 346</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9 613</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AF1</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Monetary Gold and Special Drawing Rights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782</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782</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AF2</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Cash currency and deposits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40</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1 346</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139</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38</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1 573</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114</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1 687</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AF3</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Debt securities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51</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1 117</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257</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1427</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100</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1 527</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AF4</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Loans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918</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337</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180</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49</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1484</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52</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1536</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AF5</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Share capital and shares of investment funds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2087</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804</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6</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2897</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218</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3 115</w:t>
            </w:r>
          </w:p>
        </w:tc>
      </w:tr>
      <w:tr w:rsidR="004D7285" w:rsidRPr="0092611D" w:rsidTr="00333F00">
        <w:trPr>
          <w:trHeight w:val="375"/>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AF6</w:t>
            </w:r>
          </w:p>
        </w:tc>
        <w:tc>
          <w:tcPr>
            <w:tcW w:w="6554"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Insurance, Pension and Standardized Guarantee Programs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12</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483</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19</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5</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520</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25</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545</w:t>
            </w:r>
          </w:p>
        </w:tc>
      </w:tr>
      <w:tr w:rsidR="004D7285" w:rsidRPr="0092611D" w:rsidTr="00333F00">
        <w:trPr>
          <w:trHeight w:val="422"/>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AF7</w:t>
            </w:r>
          </w:p>
        </w:tc>
        <w:tc>
          <w:tcPr>
            <w:tcW w:w="6554" w:type="dxa"/>
            <w:shd w:val="clear" w:color="auto" w:fill="FFFFFF"/>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Derivative financial instruments and employee share options</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7</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18</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25</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10</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35</w:t>
            </w:r>
          </w:p>
        </w:tc>
      </w:tr>
      <w:tr w:rsidR="004D7285" w:rsidRPr="0092611D" w:rsidTr="00333F00">
        <w:trPr>
          <w:trHeight w:val="289"/>
        </w:trPr>
        <w:tc>
          <w:tcPr>
            <w:tcW w:w="1050" w:type="dxa"/>
            <w:shd w:val="clear" w:color="auto" w:fill="FFFFFF"/>
            <w:vAlign w:val="bottom"/>
            <w:hideMark/>
          </w:tcPr>
          <w:p w:rsidR="004D7285" w:rsidRPr="0092611D" w:rsidRDefault="004D7285" w:rsidP="00333F00">
            <w:pPr>
              <w:spacing w:after="0" w:line="240" w:lineRule="auto"/>
              <w:ind w:firstLineChars="200" w:firstLine="320"/>
              <w:outlineLvl w:val="0"/>
              <w:rPr>
                <w:rFonts w:ascii="Times New Roman" w:hAnsi="Times New Roman"/>
                <w:i/>
                <w:iCs/>
                <w:sz w:val="16"/>
                <w:szCs w:val="16"/>
              </w:rPr>
            </w:pPr>
            <w:r w:rsidRPr="0092611D">
              <w:rPr>
                <w:rFonts w:ascii="Times New Roman" w:hAnsi="Times New Roman"/>
                <w:i/>
                <w:iCs/>
                <w:sz w:val="16"/>
                <w:szCs w:val="16"/>
              </w:rPr>
              <w:t>AF8</w:t>
            </w:r>
          </w:p>
        </w:tc>
        <w:tc>
          <w:tcPr>
            <w:tcW w:w="6554" w:type="dxa"/>
            <w:shd w:val="clear" w:color="auto" w:fill="FFFFFF"/>
            <w:noWrap/>
            <w:vAlign w:val="bottom"/>
            <w:hideMark/>
          </w:tcPr>
          <w:p w:rsidR="004D7285" w:rsidRPr="0092611D" w:rsidRDefault="004D7285" w:rsidP="00333F00">
            <w:pPr>
              <w:spacing w:after="0" w:line="240" w:lineRule="auto"/>
              <w:ind w:left="510"/>
              <w:contextualSpacing/>
              <w:outlineLvl w:val="1"/>
              <w:rPr>
                <w:rFonts w:ascii="Times New Roman" w:hAnsi="Times New Roman"/>
                <w:sz w:val="16"/>
                <w:szCs w:val="16"/>
              </w:rPr>
            </w:pPr>
            <w:r w:rsidRPr="0092611D">
              <w:rPr>
                <w:rFonts w:ascii="Times New Roman" w:hAnsi="Times New Roman"/>
                <w:sz w:val="16"/>
                <w:szCs w:val="16"/>
              </w:rPr>
              <w:t>Other accounts receivable/payable</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263</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0</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31</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12</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35</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341</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45</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386</w:t>
            </w:r>
          </w:p>
        </w:tc>
      </w:tr>
      <w:tr w:rsidR="004D7285" w:rsidRPr="0092611D" w:rsidTr="00333F00">
        <w:trPr>
          <w:trHeight w:val="289"/>
        </w:trPr>
        <w:tc>
          <w:tcPr>
            <w:tcW w:w="1050" w:type="dxa"/>
            <w:shd w:val="clear" w:color="auto" w:fill="FFFFFF"/>
            <w:noWrap/>
            <w:vAlign w:val="bottom"/>
            <w:hideMark/>
          </w:tcPr>
          <w:p w:rsidR="004D7285" w:rsidRPr="0092611D" w:rsidRDefault="004D7285" w:rsidP="00333F00">
            <w:pPr>
              <w:spacing w:after="0" w:line="240" w:lineRule="auto"/>
              <w:rPr>
                <w:rFonts w:ascii="Times New Roman" w:hAnsi="Times New Roman"/>
                <w:sz w:val="16"/>
                <w:szCs w:val="16"/>
              </w:rPr>
            </w:pPr>
            <w:r w:rsidRPr="0092611D">
              <w:rPr>
                <w:rFonts w:ascii="Times New Roman" w:hAnsi="Times New Roman"/>
                <w:sz w:val="16"/>
                <w:szCs w:val="16"/>
              </w:rPr>
              <w:t>B90</w:t>
            </w:r>
          </w:p>
        </w:tc>
        <w:tc>
          <w:tcPr>
            <w:tcW w:w="6554" w:type="dxa"/>
            <w:shd w:val="clear" w:color="auto" w:fill="FFFFFF"/>
            <w:noWrap/>
            <w:vAlign w:val="bottom"/>
            <w:hideMark/>
          </w:tcPr>
          <w:p w:rsidR="004D7285" w:rsidRPr="0092611D" w:rsidRDefault="004D7285" w:rsidP="00333F00">
            <w:pPr>
              <w:spacing w:after="0" w:line="240" w:lineRule="auto"/>
              <w:rPr>
                <w:rFonts w:ascii="Times New Roman" w:hAnsi="Times New Roman"/>
                <w:i/>
                <w:iCs/>
                <w:sz w:val="16"/>
                <w:szCs w:val="16"/>
              </w:rPr>
            </w:pPr>
            <w:r w:rsidRPr="0092611D">
              <w:rPr>
                <w:rFonts w:ascii="Times New Roman" w:hAnsi="Times New Roman"/>
                <w:i/>
                <w:iCs/>
                <w:sz w:val="16"/>
                <w:szCs w:val="16"/>
              </w:rPr>
              <w:t>Net worth</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148</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- 26</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444</w:t>
            </w:r>
          </w:p>
        </w:tc>
        <w:tc>
          <w:tcPr>
            <w:tcW w:w="894"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4 805</w:t>
            </w:r>
          </w:p>
        </w:tc>
        <w:tc>
          <w:tcPr>
            <w:tcW w:w="1022"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219</w:t>
            </w:r>
          </w:p>
        </w:tc>
        <w:tc>
          <w:tcPr>
            <w:tcW w:w="765"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5 590</w:t>
            </w:r>
          </w:p>
        </w:tc>
        <w:tc>
          <w:tcPr>
            <w:tcW w:w="893"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- 487</w:t>
            </w:r>
          </w:p>
        </w:tc>
        <w:tc>
          <w:tcPr>
            <w:tcW w:w="900" w:type="dxa"/>
            <w:shd w:val="clear" w:color="auto" w:fill="FFFFFF"/>
            <w:noWrap/>
            <w:vAlign w:val="bottom"/>
            <w:hideMark/>
          </w:tcPr>
          <w:p w:rsidR="004D7285" w:rsidRPr="0092611D" w:rsidRDefault="004D7285" w:rsidP="00333F00">
            <w:pPr>
              <w:spacing w:after="0" w:line="240" w:lineRule="auto"/>
              <w:jc w:val="right"/>
              <w:rPr>
                <w:rFonts w:ascii="Times New Roman" w:hAnsi="Times New Roman"/>
                <w:sz w:val="16"/>
                <w:szCs w:val="16"/>
              </w:rPr>
            </w:pPr>
            <w:r w:rsidRPr="0092611D">
              <w:rPr>
                <w:rFonts w:ascii="Times New Roman" w:hAnsi="Times New Roman"/>
                <w:sz w:val="16"/>
                <w:szCs w:val="16"/>
              </w:rPr>
              <w:t>5 103</w:t>
            </w:r>
          </w:p>
        </w:tc>
      </w:tr>
    </w:tbl>
    <w:p w:rsidR="004D7285" w:rsidRPr="0092611D" w:rsidRDefault="004D7285" w:rsidP="004D7285">
      <w:pPr>
        <w:rPr>
          <w:rFonts w:ascii="Times New Roman" w:hAnsi="Times New Roman"/>
          <w:szCs w:val="28"/>
        </w:rPr>
      </w:pPr>
      <w:r w:rsidRPr="0092611D">
        <w:rPr>
          <w:rFonts w:ascii="Times New Roman" w:hAnsi="Times New Roman"/>
          <w:szCs w:val="28"/>
        </w:rPr>
        <w:t>Source SNA 2008.</w:t>
      </w:r>
    </w:p>
    <w:p w:rsidR="0052723B" w:rsidRDefault="0052723B"/>
    <w:sectPr w:rsidR="0052723B" w:rsidSect="005433E5">
      <w:pgSz w:w="16838" w:h="11906" w:orient="landscape"/>
      <w:pgMar w:top="1418"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073" w:rsidRDefault="00546073">
      <w:pPr>
        <w:spacing w:after="0" w:line="240" w:lineRule="auto"/>
      </w:pPr>
      <w:r>
        <w:separator/>
      </w:r>
    </w:p>
  </w:endnote>
  <w:endnote w:type="continuationSeparator" w:id="0">
    <w:p w:rsidR="00546073" w:rsidRDefault="0054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073" w:rsidRDefault="00546073">
      <w:pPr>
        <w:spacing w:after="0" w:line="240" w:lineRule="auto"/>
      </w:pPr>
      <w:r>
        <w:separator/>
      </w:r>
    </w:p>
  </w:footnote>
  <w:footnote w:type="continuationSeparator" w:id="0">
    <w:p w:rsidR="00546073" w:rsidRDefault="0054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24" w:rsidRPr="00D12223" w:rsidRDefault="004D7285" w:rsidP="00F50AAD">
    <w:pPr>
      <w:pStyle w:val="a5"/>
      <w:jc w:val="center"/>
      <w:rPr>
        <w:rFonts w:ascii="Times New Roman" w:hAnsi="Times New Roman"/>
      </w:rPr>
    </w:pPr>
    <w:r w:rsidRPr="00D12223">
      <w:rPr>
        <w:rFonts w:ascii="Times New Roman" w:hAnsi="Times New Roman"/>
      </w:rPr>
      <w:fldChar w:fldCharType="begin"/>
    </w:r>
    <w:r w:rsidRPr="00D12223">
      <w:rPr>
        <w:rFonts w:ascii="Times New Roman" w:hAnsi="Times New Roman"/>
      </w:rPr>
      <w:instrText xml:space="preserve"> PAGE   \* MERGEFORMAT </w:instrText>
    </w:r>
    <w:r w:rsidRPr="00D12223">
      <w:rPr>
        <w:rFonts w:ascii="Times New Roman" w:hAnsi="Times New Roman"/>
      </w:rPr>
      <w:fldChar w:fldCharType="separate"/>
    </w:r>
    <w:r w:rsidR="0089426D">
      <w:rPr>
        <w:rFonts w:ascii="Times New Roman" w:hAnsi="Times New Roman"/>
        <w:noProof/>
      </w:rPr>
      <w:t>11</w:t>
    </w:r>
    <w:r w:rsidRPr="00D12223">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24" w:rsidRPr="00D12223" w:rsidRDefault="004D7285">
    <w:pPr>
      <w:pStyle w:val="a5"/>
      <w:jc w:val="center"/>
      <w:rPr>
        <w:rFonts w:ascii="Times New Roman" w:hAnsi="Times New Roman"/>
      </w:rPr>
    </w:pPr>
    <w:r w:rsidRPr="00D12223">
      <w:rPr>
        <w:rFonts w:ascii="Times New Roman" w:hAnsi="Times New Roman"/>
      </w:rPr>
      <w:fldChar w:fldCharType="begin"/>
    </w:r>
    <w:r w:rsidRPr="00D12223">
      <w:rPr>
        <w:rFonts w:ascii="Times New Roman" w:hAnsi="Times New Roman"/>
      </w:rPr>
      <w:instrText xml:space="preserve"> PAGE   \* MERGEFORMAT </w:instrText>
    </w:r>
    <w:r w:rsidRPr="00D12223">
      <w:rPr>
        <w:rFonts w:ascii="Times New Roman" w:hAnsi="Times New Roman"/>
      </w:rPr>
      <w:fldChar w:fldCharType="separate"/>
    </w:r>
    <w:r w:rsidR="0089426D">
      <w:rPr>
        <w:rFonts w:ascii="Times New Roman" w:hAnsi="Times New Roman"/>
        <w:noProof/>
      </w:rPr>
      <w:t>7</w:t>
    </w:r>
    <w:r w:rsidRPr="00D12223">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D44FF"/>
    <w:multiLevelType w:val="hybridMultilevel"/>
    <w:tmpl w:val="08F4BE44"/>
    <w:lvl w:ilvl="0" w:tplc="E0886744">
      <w:start w:val="1"/>
      <w:numFmt w:val="decimal"/>
      <w:lvlText w:val="%1."/>
      <w:lvlJc w:val="left"/>
      <w:pPr>
        <w:ind w:left="2043" w:hanging="1050"/>
      </w:pPr>
      <w:rPr>
        <w:rFonts w:hint="default"/>
        <w:color w:val="auto"/>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B433FAE"/>
    <w:multiLevelType w:val="hybridMultilevel"/>
    <w:tmpl w:val="E5F6B6C8"/>
    <w:lvl w:ilvl="0" w:tplc="ACBE6016">
      <w:start w:val="1"/>
      <w:numFmt w:val="decimal"/>
      <w:lvlText w:val="%1)"/>
      <w:lvlJc w:val="left"/>
      <w:pPr>
        <w:ind w:left="1211"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BC"/>
    <w:rsid w:val="004B34BC"/>
    <w:rsid w:val="004D6A4B"/>
    <w:rsid w:val="004D7285"/>
    <w:rsid w:val="0052723B"/>
    <w:rsid w:val="00546073"/>
    <w:rsid w:val="0089426D"/>
    <w:rsid w:val="008C2BE2"/>
    <w:rsid w:val="00A56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75C0"/>
  <w15:chartTrackingRefBased/>
  <w15:docId w15:val="{8B3DB3CD-9E99-48A4-BD7E-1A498267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28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D7285"/>
    <w:pPr>
      <w:ind w:left="720"/>
      <w:contextualSpacing/>
    </w:pPr>
  </w:style>
  <w:style w:type="paragraph" w:styleId="a5">
    <w:name w:val="header"/>
    <w:basedOn w:val="a"/>
    <w:link w:val="a6"/>
    <w:uiPriority w:val="99"/>
    <w:unhideWhenUsed/>
    <w:rsid w:val="004D72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7285"/>
    <w:rPr>
      <w:rFonts w:ascii="Calibri" w:eastAsia="Times New Roman" w:hAnsi="Calibri" w:cs="Times New Roman"/>
      <w:lang w:val="en" w:eastAsia="ru-RU"/>
    </w:rPr>
  </w:style>
  <w:style w:type="paragraph" w:customStyle="1" w:styleId="2">
    <w:name w:val="Основной текст2"/>
    <w:basedOn w:val="a"/>
    <w:link w:val="a7"/>
    <w:uiPriority w:val="99"/>
    <w:rsid w:val="004D7285"/>
    <w:pPr>
      <w:widowControl w:val="0"/>
      <w:shd w:val="clear" w:color="auto" w:fill="FFFFFF"/>
      <w:spacing w:before="360" w:after="0" w:line="317" w:lineRule="exact"/>
      <w:ind w:hanging="260"/>
      <w:jc w:val="center"/>
    </w:pPr>
    <w:rPr>
      <w:rFonts w:ascii="Times New Roman" w:hAnsi="Times New Roman"/>
      <w:sz w:val="26"/>
      <w:szCs w:val="20"/>
      <w:lang w:eastAsia="x-none"/>
    </w:rPr>
  </w:style>
  <w:style w:type="character" w:customStyle="1" w:styleId="a7">
    <w:name w:val="Основной текст_"/>
    <w:link w:val="2"/>
    <w:uiPriority w:val="99"/>
    <w:locked/>
    <w:rsid w:val="004D7285"/>
    <w:rPr>
      <w:rFonts w:ascii="Times New Roman" w:eastAsia="Times New Roman" w:hAnsi="Times New Roman" w:cs="Times New Roman"/>
      <w:sz w:val="26"/>
      <w:szCs w:val="20"/>
      <w:shd w:val="clear" w:color="auto" w:fill="FFFFFF"/>
      <w:lang w:val="en" w:eastAsia="x-none"/>
    </w:rPr>
  </w:style>
  <w:style w:type="character" w:customStyle="1" w:styleId="a4">
    <w:name w:val="Абзац списка Знак"/>
    <w:basedOn w:val="a0"/>
    <w:link w:val="a3"/>
    <w:uiPriority w:val="34"/>
    <w:rsid w:val="004D7285"/>
    <w:rPr>
      <w:rFonts w:ascii="Calibri" w:eastAsia="Times New Roman" w:hAnsi="Calibri" w:cs="Times New Roman"/>
      <w:lang w:val="en" w:eastAsia="ru-RU"/>
    </w:rPr>
  </w:style>
  <w:style w:type="character" w:customStyle="1" w:styleId="1">
    <w:name w:val="Заголовок №1_"/>
    <w:link w:val="10"/>
    <w:uiPriority w:val="99"/>
    <w:locked/>
    <w:rsid w:val="004D7285"/>
    <w:rPr>
      <w:rFonts w:ascii="Franklin Gothic Book" w:hAnsi="Franklin Gothic Book"/>
      <w:sz w:val="28"/>
      <w:shd w:val="clear" w:color="auto" w:fill="FFFFFF"/>
    </w:rPr>
  </w:style>
  <w:style w:type="paragraph" w:customStyle="1" w:styleId="10">
    <w:name w:val="Заголовок №1"/>
    <w:basedOn w:val="a"/>
    <w:link w:val="1"/>
    <w:uiPriority w:val="99"/>
    <w:rsid w:val="004D7285"/>
    <w:pPr>
      <w:widowControl w:val="0"/>
      <w:shd w:val="clear" w:color="auto" w:fill="FFFFFF"/>
      <w:spacing w:after="3720" w:line="317" w:lineRule="exact"/>
      <w:jc w:val="both"/>
      <w:outlineLvl w:val="0"/>
    </w:pPr>
    <w:rPr>
      <w:rFonts w:ascii="Franklin Gothic Book" w:eastAsiaTheme="minorHAnsi" w:hAnsi="Franklin Gothic Book" w:cstheme="minorBid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1966</Words>
  <Characters>11208</Characters>
  <Application>Microsoft Office Word</Application>
  <DocSecurity>0</DocSecurity>
  <Lines>93</Lines>
  <Paragraphs>26</Paragraphs>
  <ScaleCrop>false</ScaleCrop>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6</cp:revision>
  <dcterms:created xsi:type="dcterms:W3CDTF">2023-05-29T06:21:00Z</dcterms:created>
  <dcterms:modified xsi:type="dcterms:W3CDTF">2023-05-29T07:20:00Z</dcterms:modified>
</cp:coreProperties>
</file>